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both"/>
        <w:rPr>
          <w:rFonts w:hint="eastAsia" w:asciiTheme="minorEastAsia" w:hAnsiTheme="minorEastAsia" w:eastAsiaTheme="minorEastAsia" w:cstheme="minorEastAsia"/>
          <w:b/>
          <w:sz w:val="72"/>
          <w:szCs w:val="72"/>
          <w:lang w:eastAsia="zh-CN"/>
        </w:rPr>
      </w:pP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自</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行</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验</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收</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结</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论</w:t>
      </w: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cstheme="minorEastAsia"/>
          <w:b/>
          <w:sz w:val="28"/>
          <w:szCs w:val="28"/>
          <w:lang w:val="en-US" w:eastAsia="zh-CN"/>
        </w:rPr>
      </w:pPr>
      <w:r>
        <w:rPr>
          <w:rFonts w:hint="eastAsia" w:asciiTheme="minorEastAsia" w:hAnsiTheme="minorEastAsia" w:cstheme="minorEastAsia"/>
          <w:b/>
          <w:sz w:val="28"/>
          <w:szCs w:val="28"/>
          <w:lang w:val="en-US" w:eastAsia="zh-CN"/>
        </w:rPr>
        <w:t>建设单位：四川现代岱摩斯汽车系统有限公司</w:t>
      </w:r>
    </w:p>
    <w:p>
      <w:pPr>
        <w:snapToGrid w:val="0"/>
        <w:spacing w:after="156" w:afterLines="50" w:line="240" w:lineRule="auto"/>
        <w:jc w:val="center"/>
        <w:rPr>
          <w:rFonts w:hint="eastAsia" w:asciiTheme="minorEastAsia" w:hAnsiTheme="minorEastAsia" w:cstheme="minorEastAsia"/>
          <w:b/>
          <w:sz w:val="28"/>
          <w:szCs w:val="28"/>
          <w:lang w:val="en-US" w:eastAsia="zh-CN"/>
        </w:rPr>
      </w:pP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br w:type="page"/>
      </w: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表一  基本信息</w:t>
      </w:r>
    </w:p>
    <w:tbl>
      <w:tblPr>
        <w:tblStyle w:val="10"/>
        <w:tblW w:w="904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77"/>
        <w:gridCol w:w="61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建设项目名称</w:t>
            </w:r>
            <w:r>
              <w:rPr>
                <w:rFonts w:hint="eastAsia" w:ascii="Times New Roman" w:hAnsi="Times New Roman" w:eastAsia="宋体"/>
                <w:sz w:val="24"/>
                <w:szCs w:val="24"/>
                <w:lang w:eastAsia="zh-CN"/>
              </w:rPr>
              <w:t>（验收名称）</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四川资阳汽车零部件生产基地项目（一期）-变速器生产线项目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建设项目名称（环评批复）</w:t>
            </w:r>
          </w:p>
        </w:tc>
        <w:tc>
          <w:tcPr>
            <w:tcW w:w="6165"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lang w:eastAsia="zh-CN"/>
              </w:rPr>
              <w:t>四川资阳汽车零部件生产基地项目（一期）-变速器生产线项目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建设地点</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四川省资阳市资阳经济开发区城南工业集中发展区现代大道横二道路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建设项目性质（新建、改扩建、技术改造）</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jc w:val="center"/>
              <w:rPr>
                <w:rFonts w:hint="eastAsia" w:ascii="Times New Roman" w:hAnsi="Times New Roman" w:eastAsia="宋体"/>
                <w:sz w:val="24"/>
                <w:szCs w:val="24"/>
              </w:rPr>
            </w:pPr>
            <w:r>
              <w:rPr>
                <w:rFonts w:hint="eastAsia" w:ascii="Times New Roman" w:hAnsi="Times New Roman" w:eastAsia="宋体"/>
                <w:sz w:val="24"/>
                <w:szCs w:val="24"/>
              </w:rPr>
              <w:t>环境影响报告书（表）审批机关及批准文号、时间</w:t>
            </w:r>
          </w:p>
        </w:tc>
        <w:tc>
          <w:tcPr>
            <w:tcW w:w="6165" w:type="dxa"/>
            <w:vAlign w:val="center"/>
          </w:tcPr>
          <w:p>
            <w:pPr>
              <w:spacing w:line="240" w:lineRule="auto"/>
              <w:rPr>
                <w:rFonts w:hint="eastAsia" w:ascii="Times New Roman" w:hAnsi="Times New Roman" w:eastAsia="宋体"/>
                <w:sz w:val="24"/>
                <w:szCs w:val="24"/>
              </w:rPr>
            </w:pPr>
            <w:r>
              <w:rPr>
                <w:rFonts w:hint="eastAsia" w:ascii="Times New Roman" w:hAnsi="Times New Roman" w:eastAsia="宋体"/>
                <w:color w:val="auto"/>
                <w:sz w:val="24"/>
                <w:szCs w:val="24"/>
              </w:rPr>
              <w:t>资阳市环境保护局</w:t>
            </w:r>
            <w:r>
              <w:rPr>
                <w:rFonts w:ascii="Times New Roman" w:hAnsi="Times New Roman" w:eastAsia="宋体"/>
                <w:color w:val="auto"/>
                <w:sz w:val="24"/>
                <w:szCs w:val="24"/>
              </w:rPr>
              <w:t>，</w:t>
            </w:r>
            <w:r>
              <w:rPr>
                <w:rFonts w:hint="eastAsia" w:ascii="Times New Roman" w:hAnsi="Times New Roman" w:eastAsia="宋体"/>
                <w:color w:val="auto"/>
                <w:sz w:val="24"/>
                <w:szCs w:val="24"/>
              </w:rPr>
              <w:t>资环建函[2014]181号，</w:t>
            </w:r>
            <w:r>
              <w:rPr>
                <w:rFonts w:ascii="Times New Roman" w:hAnsi="Times New Roman" w:eastAsia="宋体"/>
                <w:color w:val="auto"/>
                <w:sz w:val="24"/>
                <w:szCs w:val="24"/>
              </w:rPr>
              <w:t>201</w:t>
            </w:r>
            <w:r>
              <w:rPr>
                <w:rFonts w:hint="eastAsia" w:ascii="Times New Roman" w:hAnsi="Times New Roman" w:eastAsia="宋体"/>
                <w:color w:val="auto"/>
                <w:sz w:val="24"/>
                <w:szCs w:val="24"/>
              </w:rPr>
              <w:t>4.9.16；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审批、核准、备案机关及批准文号、时间</w:t>
            </w:r>
          </w:p>
        </w:tc>
        <w:tc>
          <w:tcPr>
            <w:tcW w:w="6165" w:type="dxa"/>
            <w:vAlign w:val="center"/>
          </w:tcPr>
          <w:p>
            <w:pPr>
              <w:spacing w:line="240" w:lineRule="auto"/>
              <w:rPr>
                <w:rFonts w:hint="eastAsia" w:ascii="Times New Roman" w:hAnsi="Times New Roman" w:eastAsia="宋体"/>
                <w:color w:val="FF0000"/>
                <w:sz w:val="24"/>
                <w:szCs w:val="24"/>
              </w:rPr>
            </w:pPr>
            <w:r>
              <w:rPr>
                <w:rFonts w:hint="eastAsia" w:ascii="Times New Roman" w:hAnsi="Times New Roman" w:eastAsia="宋体"/>
                <w:color w:val="auto"/>
                <w:sz w:val="24"/>
                <w:szCs w:val="24"/>
              </w:rPr>
              <w:t>资阳市发展和改革委员会</w:t>
            </w:r>
            <w:r>
              <w:rPr>
                <w:rFonts w:hint="eastAsia" w:ascii="Times New Roman" w:hAnsi="Times New Roman" w:eastAsia="宋体"/>
                <w:color w:val="auto"/>
                <w:sz w:val="24"/>
                <w:szCs w:val="24"/>
                <w:lang w:eastAsia="zh-CN"/>
              </w:rPr>
              <w:t>，资发改发</w:t>
            </w:r>
            <w:r>
              <w:rPr>
                <w:rFonts w:hint="eastAsia" w:ascii="Times New Roman" w:hAnsi="Times New Roman" w:eastAsia="宋体"/>
                <w:color w:val="auto"/>
                <w:sz w:val="24"/>
                <w:szCs w:val="24"/>
                <w:lang w:val="en-US" w:eastAsia="zh-CN"/>
              </w:rPr>
              <w:t>[2014]79号，2014.4.2；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环境影响报告书(表)编制单位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color w:val="auto"/>
                <w:sz w:val="24"/>
                <w:szCs w:val="24"/>
              </w:rPr>
              <w:t>四川省国环环境工程咨询有限公司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项目设计单位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资阳世佳建筑设计有限公司、韩国韩泰尔设计院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项目施工单位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四川荣慧建设集团有限公司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环保验收调查单位或监测单位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四川中衡检测技术有限公司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工程实际总投资（万元）</w:t>
            </w:r>
          </w:p>
        </w:tc>
        <w:tc>
          <w:tcPr>
            <w:tcW w:w="6165" w:type="dxa"/>
            <w:vAlign w:val="center"/>
          </w:tcPr>
          <w:p>
            <w:pPr>
              <w:snapToGrid w:val="0"/>
              <w:spacing w:line="240" w:lineRule="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1.59亿元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rPr>
              <w:t>环保投资（万元）</w:t>
            </w:r>
          </w:p>
        </w:tc>
        <w:tc>
          <w:tcPr>
            <w:tcW w:w="6165" w:type="dxa"/>
            <w:vAlign w:val="center"/>
          </w:tcPr>
          <w:p>
            <w:pPr>
              <w:snapToGrid w:val="0"/>
              <w:spacing w:line="24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pacing w:val="-20"/>
                <w:sz w:val="24"/>
                <w:szCs w:val="24"/>
              </w:rPr>
              <w:t>93.2万元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建设项目开工日期</w:t>
            </w:r>
          </w:p>
        </w:tc>
        <w:tc>
          <w:tcPr>
            <w:tcW w:w="6165"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color w:val="auto"/>
                <w:sz w:val="24"/>
                <w:szCs w:val="24"/>
              </w:rPr>
              <w:t>2013</w:t>
            </w:r>
            <w:r>
              <w:rPr>
                <w:rFonts w:ascii="Times New Roman" w:hAnsi="Times New Roman" w:eastAsia="宋体"/>
                <w:color w:val="auto"/>
                <w:sz w:val="24"/>
                <w:szCs w:val="24"/>
              </w:rPr>
              <w:t>年</w:t>
            </w:r>
            <w:r>
              <w:rPr>
                <w:rFonts w:hint="eastAsia" w:ascii="Times New Roman" w:hAnsi="Times New Roman" w:eastAsia="宋体"/>
                <w:color w:val="auto"/>
                <w:sz w:val="24"/>
                <w:szCs w:val="24"/>
              </w:rPr>
              <w:t>3</w:t>
            </w:r>
            <w:r>
              <w:rPr>
                <w:rFonts w:ascii="Times New Roman" w:hAnsi="Times New Roman" w:eastAsia="宋体"/>
                <w:color w:val="auto"/>
                <w:sz w:val="24"/>
                <w:szCs w:val="24"/>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建设项目投入生产日期</w:t>
            </w:r>
          </w:p>
        </w:tc>
        <w:tc>
          <w:tcPr>
            <w:tcW w:w="6165" w:type="dxa"/>
            <w:vAlign w:val="center"/>
          </w:tcPr>
          <w:p>
            <w:pPr>
              <w:snapToGrid w:val="0"/>
              <w:spacing w:line="240" w:lineRule="auto"/>
              <w:rPr>
                <w:rFonts w:hint="eastAsia" w:ascii="Times New Roman" w:hAnsi="Times New Roman" w:eastAsia="宋体"/>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14</w:t>
            </w:r>
            <w:r>
              <w:rPr>
                <w:rFonts w:ascii="Times New Roman" w:hAnsi="Times New Roman" w:eastAsia="宋体"/>
                <w:color w:val="auto"/>
                <w:sz w:val="24"/>
                <w:szCs w:val="24"/>
              </w:rPr>
              <w:t>年</w:t>
            </w:r>
            <w:r>
              <w:rPr>
                <w:rFonts w:hint="eastAsia" w:ascii="Times New Roman" w:hAnsi="Times New Roman" w:eastAsia="宋体"/>
                <w:color w:val="auto"/>
                <w:sz w:val="24"/>
                <w:szCs w:val="24"/>
              </w:rPr>
              <w:t>5</w:t>
            </w:r>
            <w:r>
              <w:rPr>
                <w:rFonts w:ascii="Times New Roman" w:hAnsi="Times New Roman" w:eastAsia="宋体"/>
                <w:color w:val="auto"/>
                <w:sz w:val="24"/>
                <w:szCs w:val="24"/>
              </w:rPr>
              <w:t>月</w:t>
            </w:r>
          </w:p>
        </w:tc>
      </w:tr>
    </w:tbl>
    <w:p>
      <w:pPr>
        <w:snapToGrid w:val="0"/>
        <w:spacing w:after="156" w:afterLines="50"/>
        <w:jc w:val="center"/>
        <w:rPr>
          <w:rFonts w:hint="eastAsia" w:ascii="宋体"/>
          <w:b/>
          <w:color w:val="000000"/>
          <w:sz w:val="24"/>
        </w:rPr>
      </w:pPr>
      <w:r>
        <w:rPr>
          <w:rFonts w:ascii="宋体"/>
          <w:b/>
          <w:color w:val="000000"/>
          <w:sz w:val="24"/>
        </w:rPr>
        <w:br w:type="page"/>
      </w: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 xml:space="preserve">表二  </w:t>
      </w:r>
      <w:r>
        <w:rPr>
          <w:rFonts w:ascii="楷体_GB2312" w:eastAsia="楷体_GB2312"/>
          <w:b/>
          <w:sz w:val="30"/>
          <w:szCs w:val="30"/>
        </w:rPr>
        <w:t xml:space="preserve"> </w:t>
      </w:r>
      <w:r>
        <w:rPr>
          <w:rFonts w:hint="eastAsia" w:ascii="楷体_GB2312" w:eastAsia="楷体_GB2312"/>
          <w:b/>
          <w:sz w:val="30"/>
          <w:szCs w:val="30"/>
        </w:rPr>
        <w:t>环境保护执行情况</w:t>
      </w:r>
    </w:p>
    <w:tbl>
      <w:tblPr>
        <w:tblStyle w:val="10"/>
        <w:tblW w:w="8859"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3390"/>
        <w:gridCol w:w="3510"/>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59" w:type="dxa"/>
            <w:vAlign w:val="center"/>
          </w:tcPr>
          <w:p>
            <w:pPr>
              <w:adjustRightInd w:val="0"/>
              <w:snapToGrid w:val="0"/>
              <w:spacing w:line="240" w:lineRule="auto"/>
              <w:jc w:val="center"/>
              <w:rPr>
                <w:rFonts w:hint="eastAsia" w:ascii="Times New Roman" w:hAnsi="Times New Roman" w:eastAsia="宋体"/>
                <w:sz w:val="24"/>
                <w:szCs w:val="24"/>
              </w:rPr>
            </w:pPr>
          </w:p>
        </w:tc>
        <w:tc>
          <w:tcPr>
            <w:tcW w:w="339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pacing w:val="40"/>
                <w:sz w:val="24"/>
                <w:szCs w:val="24"/>
              </w:rPr>
              <w:t>环评及其批复情</w:t>
            </w:r>
            <w:r>
              <w:rPr>
                <w:rFonts w:hint="eastAsia" w:ascii="Times New Roman" w:hAnsi="Times New Roman" w:eastAsia="宋体"/>
                <w:b w:val="0"/>
                <w:bCs w:val="0"/>
                <w:sz w:val="24"/>
                <w:szCs w:val="24"/>
              </w:rPr>
              <w:t>况</w:t>
            </w:r>
          </w:p>
        </w:tc>
        <w:tc>
          <w:tcPr>
            <w:tcW w:w="351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pacing w:val="40"/>
                <w:sz w:val="24"/>
                <w:szCs w:val="24"/>
              </w:rPr>
              <w:t>实际执行情</w:t>
            </w:r>
            <w:r>
              <w:rPr>
                <w:rFonts w:hint="eastAsia" w:ascii="Times New Roman" w:hAnsi="Times New Roman" w:eastAsia="宋体"/>
                <w:b w:val="0"/>
                <w:bCs w:val="0"/>
                <w:sz w:val="24"/>
                <w:szCs w:val="24"/>
              </w:rPr>
              <w:t>况</w:t>
            </w:r>
          </w:p>
        </w:tc>
        <w:tc>
          <w:tcPr>
            <w:tcW w:w="70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95"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建设内容（地点、规模、性质等）</w:t>
            </w:r>
          </w:p>
        </w:tc>
        <w:tc>
          <w:tcPr>
            <w:tcW w:w="3390" w:type="dxa"/>
            <w:vAlign w:val="top"/>
          </w:tcPr>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建设内容：主要建设</w:t>
            </w:r>
            <w:r>
              <w:rPr>
                <w:rFonts w:hint="eastAsia" w:ascii="Times New Roman" w:hAnsi="Times New Roman" w:eastAsia="宋体"/>
                <w:sz w:val="24"/>
                <w:szCs w:val="24"/>
                <w:lang w:val="en-US" w:eastAsia="zh-CN"/>
              </w:rPr>
              <w:t>1座生产车间，办公室（两层，位于生产车间内西侧）、废品仓库、油类储存仓库、危险物仓库、油罐区以及门卫室、食堂等配套措施。占地面积45044平方米。</w:t>
            </w:r>
          </w:p>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设计产量：</w:t>
            </w:r>
            <w:r>
              <w:rPr>
                <w:rFonts w:hint="eastAsia" w:ascii="Times New Roman" w:hAnsi="Times New Roman" w:eastAsia="宋体" w:cs="宋体"/>
                <w:color w:val="auto"/>
                <w:sz w:val="24"/>
                <w:szCs w:val="24"/>
              </w:rPr>
              <w:t>年产变速器20000台。</w:t>
            </w:r>
          </w:p>
        </w:tc>
        <w:tc>
          <w:tcPr>
            <w:tcW w:w="3510" w:type="dxa"/>
            <w:vAlign w:val="top"/>
          </w:tcPr>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建设内容：主要建设</w:t>
            </w:r>
            <w:r>
              <w:rPr>
                <w:rFonts w:hint="eastAsia" w:ascii="Times New Roman" w:hAnsi="Times New Roman" w:eastAsia="宋体"/>
                <w:sz w:val="24"/>
                <w:szCs w:val="24"/>
                <w:lang w:val="en-US" w:eastAsia="zh-CN"/>
              </w:rPr>
              <w:t>1座生产车间，办公室（两层，位于生产车间内西侧）、废品仓库、油类储存仓库、危险物仓库、油罐区以及门卫室、食堂等配套措施。占地面积45044平方米。</w:t>
            </w:r>
          </w:p>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lang w:eastAsia="zh-CN"/>
              </w:rPr>
              <w:t>实际产量：</w:t>
            </w:r>
            <w:r>
              <w:rPr>
                <w:rFonts w:hint="eastAsia" w:ascii="Times New Roman" w:hAnsi="Times New Roman" w:eastAsia="宋体" w:cs="宋体"/>
                <w:color w:val="auto"/>
                <w:sz w:val="24"/>
                <w:szCs w:val="24"/>
              </w:rPr>
              <w:t>年产变速器20000台。</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生态保护设施和措施</w:t>
            </w:r>
          </w:p>
        </w:tc>
        <w:tc>
          <w:tcPr>
            <w:tcW w:w="3390" w:type="dxa"/>
            <w:vAlign w:val="center"/>
          </w:tcPr>
          <w:p>
            <w:pPr>
              <w:adjustRightInd w:val="0"/>
              <w:snapToGrid w:val="0"/>
              <w:spacing w:line="240" w:lineRule="auto"/>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w:t>
            </w:r>
          </w:p>
        </w:tc>
        <w:tc>
          <w:tcPr>
            <w:tcW w:w="3510" w:type="dxa"/>
            <w:vAlign w:val="center"/>
          </w:tcPr>
          <w:p>
            <w:pPr>
              <w:adjustRightInd w:val="0"/>
              <w:snapToGrid w:val="0"/>
              <w:spacing w:line="240" w:lineRule="auto"/>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污染防治设施和措施</w:t>
            </w:r>
          </w:p>
        </w:tc>
        <w:tc>
          <w:tcPr>
            <w:tcW w:w="3390" w:type="dxa"/>
            <w:vAlign w:val="top"/>
          </w:tcPr>
          <w:p>
            <w:pPr>
              <w:adjustRightInd w:val="0"/>
              <w:snapToGrid w:val="0"/>
              <w:spacing w:line="240" w:lineRule="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严格按照环评要求落实环保措施，按照批准的环境影响报告表补建和完善大气、水污染治理设施。加强环保设施的管理和维护，确保环保设施的正常运行及大气、水污染物稳定达标排放。</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严格项目废水环境管理，在水污染设施未建成前确保项目废水达到有效处置和达标排放。食堂油烟需安装油烟净化器处理。</w:t>
            </w:r>
          </w:p>
          <w:p>
            <w:pPr>
              <w:widowControl/>
              <w:spacing w:line="240" w:lineRule="auto"/>
              <w:jc w:val="left"/>
              <w:rPr>
                <w:rFonts w:hint="eastAsia" w:ascii="Times New Roman" w:hAnsi="Times New Roman" w:eastAsia="宋体"/>
                <w:sz w:val="24"/>
                <w:szCs w:val="24"/>
              </w:rPr>
            </w:pP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规范固体废物收贮、暂存管理，落实危废暂存场地“三防措施”，按照国家有关规定处理处置固体废弃物。废粘合剂、废润滑油、含油棉纱和抹布、废防锈油等危险废物送由有资质单位处置。</w:t>
            </w:r>
          </w:p>
        </w:tc>
        <w:tc>
          <w:tcPr>
            <w:tcW w:w="3510" w:type="dxa"/>
            <w:vAlign w:val="top"/>
          </w:tcPr>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已落实。</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本项目的备用发电机废气通过发电机自带的尾气处理设施处理后经排气管</w:t>
            </w:r>
            <w:r>
              <w:rPr>
                <w:rFonts w:hint="eastAsia" w:ascii="Times New Roman" w:hAnsi="Times New Roman" w:eastAsia="宋体"/>
                <w:color w:val="auto"/>
                <w:sz w:val="24"/>
                <w:szCs w:val="24"/>
                <w:lang w:eastAsia="zh-CN"/>
              </w:rPr>
              <w:t>排至屋顶高空排放</w:t>
            </w:r>
            <w:r>
              <w:rPr>
                <w:rFonts w:hint="eastAsia" w:ascii="Times New Roman" w:hAnsi="Times New Roman" w:eastAsia="宋体"/>
                <w:color w:val="auto"/>
                <w:sz w:val="24"/>
                <w:szCs w:val="24"/>
              </w:rPr>
              <w:t>。食堂油烟经2台油烟净化器处理后通过排气筒排放。建有相应的《环境污染防治管理制度》和《环境污染防治责任制度》，生产废水依托车桥生产线建设的废水处理站处理后循环使用不外排。</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已落实。</w:t>
            </w:r>
          </w:p>
          <w:p>
            <w:pPr>
              <w:adjustRightInd w:val="0"/>
              <w:snapToGrid w:val="0"/>
              <w:spacing w:line="24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生产废水依托车桥生产线建设的废水处理站处理后循环使用不外排。食堂废水经隔油池处理后与办公生活污水一起进入预处理池处理后排入资阳市第二污水处理厂。食堂已安装2台油烟净化器，并设有排气筒</w:t>
            </w:r>
            <w:r>
              <w:rPr>
                <w:rFonts w:hint="eastAsia" w:ascii="Times New Roman" w:hAnsi="Times New Roman" w:eastAsia="宋体"/>
                <w:color w:val="auto"/>
                <w:sz w:val="24"/>
                <w:szCs w:val="24"/>
                <w:lang w:eastAsia="zh-CN"/>
              </w:rPr>
              <w:t>。</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已落实。</w:t>
            </w:r>
          </w:p>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color w:val="auto"/>
                <w:sz w:val="24"/>
                <w:szCs w:val="24"/>
              </w:rPr>
              <w:t>规范了固体废物收贮、暂存管理，落实了危废暂存场地“三防措施”，按照国家有关规定处理处置固体废弃物。</w:t>
            </w:r>
            <w:r>
              <w:rPr>
                <w:rFonts w:hint="eastAsia" w:ascii="Times New Roman" w:hAnsi="Times New Roman" w:eastAsia="宋体"/>
                <w:color w:val="auto"/>
                <w:sz w:val="24"/>
                <w:szCs w:val="24"/>
                <w:lang w:eastAsia="zh-CN"/>
              </w:rPr>
              <w:t>粘合剂废桶、防锈油废桶、润滑液废桶、</w:t>
            </w:r>
            <w:r>
              <w:rPr>
                <w:rFonts w:hint="eastAsia" w:ascii="Times New Roman" w:hAnsi="Times New Roman" w:eastAsia="宋体"/>
                <w:color w:val="auto"/>
                <w:sz w:val="24"/>
                <w:szCs w:val="24"/>
              </w:rPr>
              <w:t>含油棉纱和抹布、</w:t>
            </w:r>
            <w:r>
              <w:rPr>
                <w:rFonts w:hint="eastAsia" w:ascii="Times New Roman" w:hAnsi="Times New Roman" w:eastAsia="宋体"/>
                <w:color w:val="auto"/>
                <w:sz w:val="24"/>
                <w:szCs w:val="24"/>
                <w:lang w:eastAsia="zh-CN"/>
              </w:rPr>
              <w:t>污水处理站污泥、废活性炭均</w:t>
            </w:r>
            <w:r>
              <w:rPr>
                <w:rFonts w:hint="eastAsia" w:ascii="Times New Roman" w:hAnsi="Times New Roman" w:eastAsia="宋体"/>
                <w:color w:val="auto"/>
                <w:sz w:val="24"/>
                <w:szCs w:val="24"/>
              </w:rPr>
              <w:t>暂存于危废暂存间</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交由四川中明环境治理有限公司统一处理。</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其他相关环保要求</w:t>
            </w:r>
          </w:p>
        </w:tc>
        <w:tc>
          <w:tcPr>
            <w:tcW w:w="3390" w:type="dxa"/>
            <w:vAlign w:val="center"/>
          </w:tcPr>
          <w:p>
            <w:pPr>
              <w:adjustRightInd w:val="0"/>
              <w:snapToGrid w:val="0"/>
              <w:spacing w:line="240" w:lineRule="auto"/>
              <w:jc w:val="left"/>
              <w:rPr>
                <w:rFonts w:hint="eastAsia" w:ascii="Times New Roman" w:hAnsi="Times New Roman" w:eastAsia="宋体"/>
                <w:sz w:val="24"/>
                <w:szCs w:val="24"/>
                <w:lang w:val="en-US" w:eastAsia="zh-CN"/>
              </w:rPr>
            </w:pPr>
            <w:r>
              <w:rPr>
                <w:rFonts w:hint="eastAsia" w:ascii="Times New Roman" w:hAnsi="Times New Roman" w:eastAsia="宋体"/>
                <w:color w:val="auto"/>
                <w:sz w:val="24"/>
                <w:szCs w:val="24"/>
              </w:rPr>
              <w:t>制定和完善环境风险应急预案，加强环境应急管理，落实风险防范措施。</w:t>
            </w:r>
          </w:p>
        </w:tc>
        <w:tc>
          <w:tcPr>
            <w:tcW w:w="3510" w:type="dxa"/>
            <w:vAlign w:val="center"/>
          </w:tcPr>
          <w:p>
            <w:pPr>
              <w:adjustRightInd w:val="0"/>
              <w:snapToGrid w:val="0"/>
              <w:spacing w:line="240" w:lineRule="auto"/>
              <w:jc w:val="center"/>
              <w:rPr>
                <w:rFonts w:hint="eastAsia" w:ascii="Times New Roman" w:hAnsi="Times New Roman" w:eastAsia="宋体"/>
                <w:sz w:val="24"/>
                <w:szCs w:val="24"/>
                <w:lang w:val="en-US" w:eastAsia="zh-CN"/>
              </w:rPr>
            </w:pPr>
            <w:r>
              <w:rPr>
                <w:rFonts w:hint="eastAsia" w:ascii="Times New Roman" w:hAnsi="Times New Roman" w:eastAsia="宋体"/>
                <w:color w:val="auto"/>
                <w:sz w:val="24"/>
                <w:szCs w:val="24"/>
              </w:rPr>
              <w:t>制定有突发环境事件应急预案。</w:t>
            </w:r>
          </w:p>
        </w:tc>
        <w:tc>
          <w:tcPr>
            <w:tcW w:w="700" w:type="dxa"/>
            <w:vAlign w:val="top"/>
          </w:tcPr>
          <w:p>
            <w:pPr>
              <w:adjustRightInd w:val="0"/>
              <w:snapToGrid w:val="0"/>
              <w:spacing w:line="240" w:lineRule="auto"/>
              <w:rPr>
                <w:rFonts w:hint="eastAsia" w:ascii="Times New Roman" w:hAnsi="Times New Roman" w:eastAsia="宋体"/>
                <w:sz w:val="24"/>
                <w:szCs w:val="24"/>
              </w:rPr>
            </w:pPr>
          </w:p>
        </w:tc>
      </w:tr>
    </w:tbl>
    <w:p>
      <w:pPr>
        <w:jc w:val="both"/>
        <w:rPr>
          <w:rFonts w:hint="eastAsia"/>
          <w:b/>
          <w:bCs/>
          <w:color w:val="auto"/>
          <w:sz w:val="32"/>
          <w:szCs w:val="32"/>
          <w:vertAlign w:val="baseline"/>
          <w:lang w:eastAsia="zh-CN"/>
        </w:rPr>
      </w:pPr>
    </w:p>
    <w:p>
      <w:pPr>
        <w:snapToGrid w:val="0"/>
        <w:spacing w:after="156" w:afterLines="50" w:line="240" w:lineRule="auto"/>
        <w:jc w:val="center"/>
        <w:rPr>
          <w:rFonts w:hint="eastAsia" w:ascii="楷体_GB2312" w:eastAsia="楷体_GB2312"/>
          <w:b/>
          <w:sz w:val="30"/>
          <w:szCs w:val="30"/>
        </w:rPr>
        <w:sectPr>
          <w:pgSz w:w="11906" w:h="16838"/>
          <w:pgMar w:top="1417" w:right="1417" w:bottom="1417" w:left="1417" w:header="851" w:footer="992" w:gutter="0"/>
          <w:pgBorders>
            <w:top w:val="none" w:sz="0" w:space="0"/>
            <w:left w:val="none" w:sz="0" w:space="0"/>
            <w:bottom w:val="none" w:sz="0" w:space="0"/>
            <w:right w:val="none" w:sz="0" w:space="0"/>
          </w:pgBorders>
          <w:cols w:space="0" w:num="1"/>
          <w:rtlGutter w:val="0"/>
          <w:docGrid w:type="lines" w:linePitch="389" w:charSpace="0"/>
        </w:sectPr>
      </w:pP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 xml:space="preserve">表三  </w:t>
      </w:r>
      <w:r>
        <w:rPr>
          <w:rFonts w:ascii="楷体_GB2312" w:eastAsia="楷体_GB2312"/>
          <w:b/>
          <w:sz w:val="30"/>
          <w:szCs w:val="30"/>
        </w:rPr>
        <w:t xml:space="preserve"> </w:t>
      </w:r>
      <w:r>
        <w:rPr>
          <w:rFonts w:hint="eastAsia" w:ascii="楷体_GB2312" w:eastAsia="楷体_GB2312"/>
          <w:b/>
          <w:sz w:val="30"/>
          <w:szCs w:val="30"/>
        </w:rPr>
        <w:t>验收组意见</w:t>
      </w:r>
    </w:p>
    <w:tbl>
      <w:tblPr>
        <w:tblStyle w:val="10"/>
        <w:tblW w:w="8881" w:type="dxa"/>
        <w:jc w:val="center"/>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81"/>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11726" w:hRule="atLeast"/>
          <w:jc w:val="center"/>
        </w:trPr>
        <w:tc>
          <w:tcPr>
            <w:tcW w:w="8881" w:type="dxa"/>
            <w:vAlign w:val="top"/>
          </w:tcPr>
          <w:p>
            <w:pPr>
              <w:jc w:val="center"/>
              <w:rPr>
                <w:rFonts w:hint="eastAsia" w:ascii="Times New Roman" w:hAnsi="Times New Roman"/>
                <w:b w:val="0"/>
                <w:bCs w:val="0"/>
                <w:sz w:val="28"/>
                <w:szCs w:val="28"/>
                <w:vertAlign w:val="baseline"/>
                <w:lang w:val="en-US" w:eastAsia="zh-CN"/>
              </w:rPr>
            </w:pPr>
            <w:r>
              <w:rPr>
                <w:rFonts w:hint="eastAsia"/>
                <w:b/>
                <w:bCs/>
                <w:color w:val="auto"/>
                <w:sz w:val="32"/>
                <w:szCs w:val="32"/>
                <w:vertAlign w:val="baseline"/>
                <w:lang w:eastAsia="zh-CN"/>
              </w:rPr>
              <w:t>“四川资阳汽车零部件生产基地项目（一期）</w:t>
            </w:r>
            <w:r>
              <w:rPr>
                <w:rFonts w:hint="eastAsia"/>
                <w:b/>
                <w:bCs/>
                <w:color w:val="auto"/>
                <w:sz w:val="32"/>
                <w:szCs w:val="32"/>
                <w:vertAlign w:val="baseline"/>
                <w:lang w:val="en-US" w:eastAsia="zh-CN"/>
              </w:rPr>
              <w:t>-变速器生产线</w:t>
            </w:r>
            <w:r>
              <w:rPr>
                <w:rFonts w:hint="eastAsia"/>
                <w:b/>
                <w:bCs/>
                <w:color w:val="auto"/>
                <w:sz w:val="32"/>
                <w:szCs w:val="32"/>
                <w:vertAlign w:val="baseline"/>
                <w:lang w:eastAsia="zh-CN"/>
              </w:rPr>
              <w:t>”建设项目竣工环境保护验收意见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b w:val="0"/>
                <w:bCs w:val="0"/>
                <w:sz w:val="24"/>
                <w:szCs w:val="24"/>
                <w:vertAlign w:val="baseline"/>
                <w:lang w:val="en-US" w:eastAsia="zh-CN"/>
              </w:rPr>
            </w:pPr>
            <w:r>
              <w:rPr>
                <w:rFonts w:hint="eastAsia" w:ascii="Times New Roman" w:hAnsi="Times New Roman"/>
                <w:b w:val="0"/>
                <w:bCs w:val="0"/>
                <w:sz w:val="24"/>
                <w:szCs w:val="24"/>
                <w:vertAlign w:val="baseline"/>
                <w:lang w:val="en-US" w:eastAsia="zh-CN"/>
              </w:rPr>
              <w:t>2017年10月30日，四川现代岱摩斯汽车系统有限公司组织召开了“四川资阳汽车零部件生产基地项目（一期）-变速器生产线”建设项目竣工环境保护验收现场检查会。验收小组由建设单位（四川现代岱摩斯汽车系统有限公司）、监测单位（四川中衡检测技术有限公司）、工程施工单位（</w:t>
            </w:r>
            <w:r>
              <w:rPr>
                <w:rFonts w:hint="eastAsia" w:ascii="Times New Roman" w:hAnsi="Times New Roman" w:eastAsia="宋体"/>
                <w:sz w:val="24"/>
                <w:szCs w:val="24"/>
                <w:lang w:eastAsia="zh-CN"/>
              </w:rPr>
              <w:t>四川荣慧建设集团有限公司</w:t>
            </w:r>
            <w:r>
              <w:rPr>
                <w:rFonts w:hint="eastAsia" w:ascii="Times New Roman" w:hAnsi="Times New Roman"/>
                <w:b w:val="0"/>
                <w:bCs w:val="0"/>
                <w:sz w:val="24"/>
                <w:szCs w:val="24"/>
                <w:vertAlign w:val="baseline"/>
                <w:lang w:val="en-US" w:eastAsia="zh-CN"/>
              </w:rPr>
              <w:t>），并特邀3名专家（黄彬、廖泽军、吴莎）组成。（签到表和审查意见附后）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b w:val="0"/>
                <w:bCs w:val="0"/>
                <w:sz w:val="24"/>
                <w:szCs w:val="24"/>
                <w:vertAlign w:val="baseline"/>
                <w:lang w:val="en-US" w:eastAsia="zh-CN"/>
              </w:rPr>
            </w:pPr>
            <w:r>
              <w:rPr>
                <w:rFonts w:hint="eastAsia" w:ascii="Times New Roman" w:hAnsi="Times New Roman"/>
                <w:b w:val="0"/>
                <w:bCs w:val="0"/>
                <w:sz w:val="24"/>
                <w:szCs w:val="24"/>
                <w:vertAlign w:val="baseline"/>
                <w:lang w:val="en-US" w:eastAsia="zh-CN"/>
              </w:rPr>
              <w:t>验收小组现场查阅并核实了本项目建设运营期环保工作落实情况。经认真研究讨论形成检查意见，根据《建设项目环境保护管理条例》以及企业自行验收相关要求，现将本项目验收意见公示如下：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82" w:firstLineChars="200"/>
              <w:jc w:val="left"/>
              <w:textAlignment w:val="auto"/>
              <w:outlineLvl w:val="9"/>
              <w:rPr>
                <w:rFonts w:hint="eastAsia"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项目基本情况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eastAsia="宋体"/>
                <w:sz w:val="24"/>
                <w:szCs w:val="24"/>
              </w:rPr>
              <w:t>四川现代岱摩斯汽车系统有限公司选址于</w:t>
            </w:r>
            <w:r>
              <w:rPr>
                <w:rFonts w:ascii="Times New Roman" w:hAnsi="Times New Roman" w:eastAsia="宋体"/>
                <w:sz w:val="24"/>
                <w:szCs w:val="24"/>
              </w:rPr>
              <w:t>四川省资阳市资阳经济开发区城南工业集中发展区现代大道横</w:t>
            </w:r>
            <w:r>
              <w:rPr>
                <w:rFonts w:hint="eastAsia" w:ascii="Times New Roman" w:hAnsi="Times New Roman" w:eastAsia="宋体"/>
                <w:sz w:val="24"/>
                <w:szCs w:val="24"/>
              </w:rPr>
              <w:t>二道路</w:t>
            </w:r>
            <w:r>
              <w:rPr>
                <w:rFonts w:hint="eastAsia" w:ascii="Times New Roman" w:hAnsi="Times New Roman" w:eastAsia="宋体"/>
                <w:sz w:val="24"/>
                <w:szCs w:val="24"/>
                <w:lang w:eastAsia="zh-CN"/>
              </w:rPr>
              <w:t>。</w:t>
            </w:r>
            <w:r>
              <w:rPr>
                <w:rFonts w:hint="eastAsia" w:ascii="Times New Roman" w:hAnsi="Times New Roman" w:eastAsia="宋体"/>
                <w:sz w:val="24"/>
                <w:szCs w:val="24"/>
              </w:rPr>
              <w:t>主要建设</w:t>
            </w:r>
            <w:r>
              <w:rPr>
                <w:rFonts w:hint="eastAsia" w:ascii="Times New Roman" w:hAnsi="Times New Roman" w:eastAsia="宋体"/>
                <w:sz w:val="24"/>
                <w:szCs w:val="24"/>
                <w:lang w:eastAsia="zh-CN"/>
              </w:rPr>
              <w:t>：</w:t>
            </w:r>
            <w:r>
              <w:rPr>
                <w:rFonts w:hint="eastAsia" w:ascii="Times New Roman" w:hAnsi="Times New Roman" w:eastAsia="宋体"/>
                <w:sz w:val="24"/>
                <w:szCs w:val="24"/>
              </w:rPr>
              <w:t>生产车间建筑面积 15873.65 m</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，与车桥生产线共用厂房，但车间之间相互独立分开。变速器生产线使用厂房面积约 3970m</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w:t>
            </w:r>
            <w:r>
              <w:rPr>
                <w:rFonts w:hint="eastAsia" w:ascii="Times New Roman" w:hAnsi="Times New Roman" w:eastAsia="宋体"/>
                <w:sz w:val="24"/>
                <w:szCs w:val="24"/>
                <w:lang w:eastAsia="zh-CN"/>
              </w:rPr>
              <w:t>以及辅助工程，公用工程，环保工程，仓储和办公生活设施</w:t>
            </w:r>
            <w:r>
              <w:rPr>
                <w:rFonts w:hint="eastAsia" w:ascii="Times New Roman" w:hAnsi="Times New Roman" w:eastAsia="宋体"/>
                <w:sz w:val="24"/>
                <w:szCs w:val="24"/>
              </w:rPr>
              <w:t>。</w:t>
            </w:r>
            <w:r>
              <w:rPr>
                <w:rFonts w:hint="eastAsia" w:ascii="Times New Roman" w:hAnsi="Times New Roman"/>
                <w:sz w:val="24"/>
                <w:szCs w:val="24"/>
              </w:rPr>
              <w:t>项目实际总投资</w:t>
            </w:r>
            <w:r>
              <w:rPr>
                <w:rFonts w:hint="eastAsia" w:ascii="Times New Roman" w:hAnsi="Times New Roman"/>
                <w:sz w:val="24"/>
                <w:szCs w:val="24"/>
                <w:lang w:val="en-US" w:eastAsia="zh-CN"/>
              </w:rPr>
              <w:t>1.95亿</w:t>
            </w:r>
            <w:r>
              <w:rPr>
                <w:rFonts w:hint="eastAsia" w:ascii="Times New Roman" w:hAnsi="Times New Roman"/>
                <w:sz w:val="24"/>
                <w:szCs w:val="24"/>
              </w:rPr>
              <w:t>元，其中环保投资93.2万元，占工程总投资的</w:t>
            </w:r>
            <w:r>
              <w:rPr>
                <w:rFonts w:hint="eastAsia" w:ascii="Times New Roman" w:hAnsi="Times New Roman"/>
                <w:sz w:val="24"/>
                <w:szCs w:val="24"/>
                <w:lang w:val="en-US" w:eastAsia="zh-CN"/>
              </w:rPr>
              <w:t>0.48</w:t>
            </w:r>
            <w:r>
              <w:rPr>
                <w:rFonts w:hint="eastAsia" w:ascii="Times New Roman" w:hAnsi="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二、项目环保设施及措施落实情况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sz w:val="24"/>
                <w:szCs w:val="24"/>
              </w:rPr>
            </w:pPr>
            <w:r>
              <w:rPr>
                <w:rFonts w:hint="eastAsia" w:ascii="Times New Roman" w:hAnsi="Times New Roman"/>
                <w:sz w:val="24"/>
                <w:szCs w:val="24"/>
              </w:rPr>
              <w:t>（一）环保设施及措施基本按环评要求建成和落实，</w:t>
            </w:r>
            <w:r>
              <w:rPr>
                <w:rFonts w:hint="eastAsia" w:ascii="Times New Roman" w:hAnsi="Times New Roman"/>
                <w:sz w:val="24"/>
                <w:szCs w:val="24"/>
                <w:lang w:eastAsia="zh-CN"/>
              </w:rPr>
              <w:t>根据四川中衡检测技术有限公司出具的《</w:t>
            </w:r>
            <w:r>
              <w:rPr>
                <w:rFonts w:hint="eastAsia" w:ascii="Times New Roman" w:hAnsi="Times New Roman"/>
                <w:b w:val="0"/>
                <w:bCs w:val="0"/>
                <w:sz w:val="24"/>
                <w:szCs w:val="24"/>
                <w:vertAlign w:val="baseline"/>
                <w:lang w:val="en-US" w:eastAsia="zh-CN"/>
              </w:rPr>
              <w:t>四川资阳汽车零部件生产基地项目（一期）-变速器生产线建设项目竣工环境保护验收监测表</w:t>
            </w:r>
            <w:r>
              <w:rPr>
                <w:rFonts w:hint="eastAsia" w:ascii="Times New Roman" w:hAnsi="Times New Roman"/>
                <w:sz w:val="24"/>
                <w:szCs w:val="24"/>
                <w:lang w:eastAsia="zh-CN"/>
              </w:rPr>
              <w:t>》（中衡检测验字</w:t>
            </w:r>
            <w:r>
              <w:rPr>
                <w:rFonts w:hint="eastAsia" w:ascii="Times New Roman" w:hAnsi="Times New Roman"/>
                <w:sz w:val="24"/>
                <w:szCs w:val="24"/>
                <w:lang w:val="en-US" w:eastAsia="zh-CN"/>
              </w:rPr>
              <w:t>[2017]第209号</w:t>
            </w:r>
            <w:r>
              <w:rPr>
                <w:rFonts w:hint="eastAsia" w:ascii="Times New Roman" w:hAnsi="Times New Roman"/>
                <w:sz w:val="24"/>
                <w:szCs w:val="24"/>
                <w:lang w:eastAsia="zh-CN"/>
              </w:rPr>
              <w:t>），</w:t>
            </w:r>
            <w:r>
              <w:rPr>
                <w:rFonts w:hint="eastAsia" w:ascii="Times New Roman" w:hAnsi="Times New Roman"/>
                <w:sz w:val="24"/>
                <w:szCs w:val="24"/>
              </w:rPr>
              <w:t>具体情况如下：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1、废水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该项目雨污分流，产生的废水主要为生产废水和生活污水。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生产废水包括实验室废水（物理实验）和清洗废水。生产废水的主要污染物为：石油类、COD、氨氮、BOD5、SS、表面活性剂等。生活污水主要为食堂用水和办公生活用水，其主要污染物为：动植物油、COD、氨氮、BOD5、SS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治理措施：食堂废水经隔油池处理后与办公生活污水一起进入预处理池处理，达《污水综合排放标准》（GB8978-1996）表4中3级标准后进入资阳市第二污水处理厂。其中生产废水依托于车桥生产线建设的废水处理站处理后循环使用不外排。该废水处理站由日照海川水处理工程有限公司于2015年10月设计并安装，其设计处理能力20m3/周期（15日），其处理工艺为间歇性处理。其废水处理站包括：保安过滤器、一号反应器、气浮装置、二号反应器、活性炭池。</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olor w:val="000000"/>
                <w:lang w:val="en-US" w:eastAsia="zh-CN"/>
              </w:rPr>
            </w:pPr>
            <w:r>
              <w:rPr>
                <w:rFonts w:hint="eastAsia" w:ascii="Times New Roman" w:hAnsi="Times New Roman" w:eastAsia="宋体"/>
                <w:color w:val="000000"/>
                <w:sz w:val="24"/>
                <w:szCs w:val="24"/>
                <w:lang w:val="en-US" w:eastAsia="zh-CN"/>
              </w:rPr>
              <w:t>该项目的清洗废水是在“清洗”工艺过程中产生的，其清洗机自带过滤装置，可随时将产生的沉渣过滤，且定期往里面添加清洗剂，以保持清洗水的澄清度和清洁度，清洗废水约2个月排放一次至废水处理站。实验室废水（物理实验）是在“零部件抽样检查”工艺过程中产生的，其废水通过设备自带的过滤装置过滤后进入废水处理站。</w:t>
            </w:r>
            <w:r>
              <w:rPr>
                <w:rFonts w:hint="eastAsia" w:ascii="Times New Roman" w:hAnsi="Times New Roman" w:eastAsia="宋体"/>
                <w:color w:val="000000"/>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在生产过程中产生的废气主要为备用发电机废气和食堂油烟。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1）备用发电机废气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该项目配备有一台备用柴油发电机</w:t>
            </w:r>
            <w:r>
              <w:rPr>
                <w:rFonts w:hint="eastAsia" w:ascii="Times New Roman" w:hAnsi="Times New Roman"/>
                <w:b w:val="0"/>
                <w:bCs/>
                <w:sz w:val="24"/>
                <w:szCs w:val="24"/>
                <w:lang w:eastAsia="zh-CN"/>
              </w:rPr>
              <w:t>作为应急电源，</w:t>
            </w:r>
            <w:r>
              <w:rPr>
                <w:rFonts w:hint="eastAsia" w:ascii="Times New Roman" w:hAnsi="Times New Roman"/>
                <w:b w:val="0"/>
                <w:bCs/>
                <w:sz w:val="24"/>
                <w:szCs w:val="24"/>
              </w:rPr>
              <w:t>使用过程中会产生少量废气</w:t>
            </w:r>
            <w:r>
              <w:rPr>
                <w:rFonts w:hint="eastAsia" w:ascii="Times New Roman" w:hAnsi="Times New Roman"/>
                <w:b w:val="0"/>
                <w:bCs/>
                <w:sz w:val="24"/>
                <w:szCs w:val="24"/>
                <w:lang w:eastAsia="zh-CN"/>
              </w:rPr>
              <w:t>，其主要成分为</w:t>
            </w:r>
            <w:r>
              <w:rPr>
                <w:rFonts w:hint="eastAsia" w:ascii="Times New Roman" w:hAnsi="Times New Roman"/>
                <w:b w:val="0"/>
                <w:bCs/>
                <w:sz w:val="24"/>
                <w:szCs w:val="24"/>
                <w:lang w:val="en-US" w:eastAsia="zh-CN"/>
              </w:rPr>
              <w:t>碳氢化合物和氮氧化物</w:t>
            </w:r>
            <w:r>
              <w:rPr>
                <w:rFonts w:hint="eastAsia" w:ascii="Times New Roman" w:hAnsi="Times New Roman"/>
                <w:b w:val="0"/>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治理措施：备用发电机废气通过自带的尾气处理设施处理后经排气管</w:t>
            </w:r>
            <w:r>
              <w:rPr>
                <w:rFonts w:hint="eastAsia" w:ascii="Times New Roman" w:hAnsi="Times New Roman"/>
                <w:b w:val="0"/>
                <w:bCs/>
                <w:sz w:val="24"/>
                <w:szCs w:val="24"/>
                <w:lang w:eastAsia="zh-CN"/>
              </w:rPr>
              <w:t>引至车间屋顶高空排放</w:t>
            </w:r>
            <w:r>
              <w:rPr>
                <w:rFonts w:hint="eastAsia" w:ascii="Times New Roman" w:hAnsi="Times New Roman"/>
                <w:b w:val="0"/>
                <w:bCs/>
                <w:sz w:val="24"/>
                <w:szCs w:val="24"/>
              </w:rPr>
              <w:t>。</w:t>
            </w:r>
            <w:r>
              <w:rPr>
                <w:rFonts w:hint="eastAsia" w:ascii="Times New Roman" w:hAnsi="Times New Roman"/>
                <w:b w:val="0"/>
                <w:bCs/>
                <w:sz w:val="24"/>
                <w:szCs w:val="24"/>
                <w:lang w:eastAsia="zh-CN"/>
              </w:rPr>
              <w:t>由于柴油发电机仅用作备用电源，年使用时间较少，且其产生的废气量小，加之使用</w:t>
            </w:r>
            <w:r>
              <w:rPr>
                <w:rFonts w:hint="eastAsia" w:ascii="Times New Roman" w:hAnsi="Times New Roman"/>
                <w:b w:val="0"/>
                <w:bCs/>
                <w:sz w:val="24"/>
                <w:szCs w:val="24"/>
                <w:lang w:val="en-US" w:eastAsia="zh-CN"/>
              </w:rPr>
              <w:t>0#柴油，0#柴油属于清洁能源，其燃烧产生的废气污染较少，采取上述措施后能够达《大气污染物综合排放标准》（GB16297-1996）中二级标准排放。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2）饮食油烟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治理措施：食堂油烟经2台油烟净化器处理后通过排气筒</w:t>
            </w:r>
            <w:r>
              <w:rPr>
                <w:rFonts w:hint="eastAsia" w:ascii="Times New Roman" w:hAnsi="Times New Roman"/>
                <w:b w:val="0"/>
                <w:bCs/>
                <w:sz w:val="24"/>
                <w:szCs w:val="24"/>
                <w:lang w:eastAsia="zh-CN"/>
              </w:rPr>
              <w:t>达</w:t>
            </w:r>
            <w:r>
              <w:rPr>
                <w:rFonts w:hint="eastAsia" w:ascii="Times New Roman" w:hAnsi="Times New Roman"/>
                <w:b w:val="0"/>
                <w:bCs/>
                <w:sz w:val="24"/>
                <w:szCs w:val="24"/>
              </w:rPr>
              <w:t>《饮食业油烟排放标准（试行）》（GB18483-2001）表2中最高允许排放浓度排放。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3、噪声</w:t>
            </w:r>
          </w:p>
          <w:p>
            <w:pPr>
              <w:pStyle w:val="14"/>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噪声主要来源于设备噪声</w:t>
            </w:r>
            <w:r>
              <w:rPr>
                <w:rFonts w:hint="eastAsia" w:ascii="Times New Roman" w:hAnsi="Times New Roman"/>
                <w:color w:val="auto"/>
                <w:sz w:val="24"/>
                <w:szCs w:val="24"/>
                <w:lang w:eastAsia="zh-CN"/>
              </w:rPr>
              <w:t>，主要产噪设备有组装机、压入机、反转机、传送机等设备</w:t>
            </w:r>
            <w:r>
              <w:rPr>
                <w:rFonts w:hint="eastAsia" w:ascii="Times New Roman" w:hAnsi="Times New Roman" w:eastAsia="宋体"/>
                <w:color w:val="auto"/>
                <w:sz w:val="24"/>
                <w:szCs w:val="24"/>
              </w:rPr>
              <w:t>。</w:t>
            </w:r>
            <w:r>
              <w:rPr>
                <w:rFonts w:hint="eastAsia" w:ascii="Times New Roman" w:hAnsi="Times New Roman"/>
                <w:color w:val="auto"/>
                <w:sz w:val="24"/>
                <w:szCs w:val="24"/>
                <w:lang w:eastAsia="zh-CN"/>
              </w:rPr>
              <w:t>主要产噪设备见下表。</w:t>
            </w:r>
          </w:p>
          <w:p>
            <w:pPr>
              <w:pStyle w:val="14"/>
              <w:spacing w:line="240" w:lineRule="auto"/>
              <w:ind w:firstLine="422" w:firstLineChars="200"/>
              <w:jc w:val="center"/>
              <w:rPr>
                <w:rFonts w:hint="eastAsia" w:ascii="Times New Roman" w:hAnsi="Times New Roman" w:eastAsia="宋体"/>
                <w:b/>
                <w:bCs/>
                <w:color w:val="auto"/>
                <w:sz w:val="21"/>
                <w:szCs w:val="21"/>
                <w:lang w:eastAsia="zh-CN"/>
              </w:rPr>
            </w:pPr>
            <w:r>
              <w:rPr>
                <w:rFonts w:hint="eastAsia" w:ascii="Times New Roman" w:hAnsi="Times New Roman"/>
                <w:b/>
                <w:bCs/>
                <w:color w:val="auto"/>
                <w:sz w:val="21"/>
                <w:szCs w:val="21"/>
                <w:lang w:val="en-US" w:eastAsia="zh-CN"/>
              </w:rPr>
              <w:t>主要产噪设备清单</w:t>
            </w:r>
          </w:p>
          <w:tbl>
            <w:tblPr>
              <w:tblStyle w:val="11"/>
              <w:tblW w:w="8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2009"/>
              <w:gridCol w:w="2537"/>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序号</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产噪设备</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数量（台</w:t>
                  </w:r>
                  <w:r>
                    <w:rPr>
                      <w:rFonts w:hint="eastAsia" w:ascii="Times New Roman" w:hAnsi="Times New Roman"/>
                      <w:color w:val="auto"/>
                      <w:sz w:val="21"/>
                      <w:szCs w:val="21"/>
                      <w:vertAlign w:val="baseline"/>
                      <w:lang w:val="en-US" w:eastAsia="zh-CN"/>
                    </w:rPr>
                    <w:t>/套</w:t>
                  </w:r>
                  <w:r>
                    <w:rPr>
                      <w:rFonts w:hint="eastAsia" w:ascii="Times New Roman" w:hAnsi="Times New Roman"/>
                      <w:color w:val="auto"/>
                      <w:sz w:val="21"/>
                      <w:szCs w:val="21"/>
                      <w:vertAlign w:val="baseline"/>
                      <w:lang w:eastAsia="zh-CN"/>
                    </w:rPr>
                    <w:t>）</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所属工段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1</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压入机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22</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压入工序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2</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组装机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21</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组装工序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3</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反转机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9</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反转工序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传送机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34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输送工序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涂抹机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涂抹工序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风机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排风系统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7</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水泵</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w:t>
                  </w:r>
                </w:p>
              </w:tc>
            </w:tr>
          </w:tbl>
          <w:p>
            <w:pPr>
              <w:pStyle w:val="14"/>
              <w:spacing w:line="36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治理措施：</w:t>
            </w:r>
          </w:p>
          <w:p>
            <w:pPr>
              <w:pStyle w:val="14"/>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w:t>
            </w:r>
            <w:r>
              <w:rPr>
                <w:rFonts w:hint="eastAsia" w:ascii="Times New Roman" w:hAnsi="Times New Roman"/>
                <w:color w:val="auto"/>
                <w:sz w:val="24"/>
                <w:szCs w:val="24"/>
                <w:lang w:eastAsia="zh-CN"/>
              </w:rPr>
              <w:t>）选用低噪声设备。比如选用低噪声的压入机和风机。</w:t>
            </w:r>
          </w:p>
          <w:p>
            <w:pPr>
              <w:pStyle w:val="14"/>
              <w:numPr>
                <w:ilvl w:val="0"/>
                <w:numId w:val="3"/>
              </w:num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eastAsia="宋体"/>
                <w:color w:val="auto"/>
                <w:sz w:val="24"/>
                <w:szCs w:val="24"/>
              </w:rPr>
              <w:t>基础减</w:t>
            </w:r>
            <w:r>
              <w:rPr>
                <w:rFonts w:hint="eastAsia" w:ascii="Times New Roman" w:hAnsi="Times New Roman"/>
                <w:color w:val="auto"/>
                <w:sz w:val="24"/>
                <w:szCs w:val="24"/>
                <w:lang w:eastAsia="zh-CN"/>
              </w:rPr>
              <w:t>振。对压入机、传送机等主要设备进行基础减振。风机管道加柔性软接，水泵基础设橡胶隔振垫，水管设曲娆橡胶接头以减振。</w:t>
            </w:r>
          </w:p>
          <w:p>
            <w:pPr>
              <w:pStyle w:val="14"/>
              <w:numPr>
                <w:ilvl w:val="0"/>
                <w:numId w:val="3"/>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合理布局</w:t>
            </w:r>
            <w:r>
              <w:rPr>
                <w:rFonts w:hint="eastAsia" w:ascii="Times New Roman" w:hAnsi="Times New Roman"/>
                <w:color w:val="auto"/>
                <w:sz w:val="24"/>
                <w:szCs w:val="24"/>
                <w:lang w:eastAsia="zh-CN"/>
              </w:rPr>
              <w:t>、产噪源设备尽量远离厂界布置。</w:t>
            </w:r>
          </w:p>
          <w:p>
            <w:pPr>
              <w:pStyle w:val="14"/>
              <w:numPr>
                <w:ilvl w:val="0"/>
                <w:numId w:val="3"/>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厂房隔音</w:t>
            </w:r>
            <w:r>
              <w:rPr>
                <w:rFonts w:hint="eastAsia" w:ascii="Times New Roman" w:hAnsi="Times New Roman"/>
                <w:color w:val="auto"/>
                <w:sz w:val="24"/>
                <w:szCs w:val="24"/>
                <w:lang w:eastAsia="zh-CN"/>
              </w:rPr>
              <w:t>。</w:t>
            </w:r>
          </w:p>
          <w:p>
            <w:pPr>
              <w:pStyle w:val="14"/>
              <w:numPr>
                <w:ilvl w:val="0"/>
                <w:numId w:val="3"/>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color w:val="auto"/>
                <w:sz w:val="24"/>
                <w:szCs w:val="24"/>
                <w:lang w:eastAsia="zh-CN"/>
              </w:rPr>
              <w:t>加强机械设备的维护和保养，确保其正常运转</w:t>
            </w:r>
            <w:r>
              <w:rPr>
                <w:rFonts w:hint="eastAsia" w:ascii="Times New Roman" w:hAnsi="Times New Roman" w:eastAsia="宋体"/>
                <w:color w:val="auto"/>
                <w:sz w:val="24"/>
                <w:szCs w:val="24"/>
              </w:rPr>
              <w:t>。</w:t>
            </w:r>
          </w:p>
          <w:p>
            <w:pPr>
              <w:pStyle w:val="14"/>
              <w:numPr>
                <w:ilvl w:val="0"/>
                <w:numId w:val="3"/>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color w:val="auto"/>
                <w:sz w:val="24"/>
                <w:szCs w:val="24"/>
                <w:lang w:eastAsia="zh-CN"/>
              </w:rPr>
              <w:t>绿化降噪。</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4、固废</w:t>
            </w:r>
            <w:r>
              <w:rPr>
                <w:rFonts w:hint="eastAsia" w:ascii="Times New Roman" w:hAnsi="Times New Roman"/>
                <w:b/>
                <w:sz w:val="24"/>
                <w:szCs w:val="24"/>
                <w:lang w:val="en-US" w:eastAsia="zh-CN"/>
              </w:rPr>
              <w:t xml:space="preserve">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该项目在营运期产生的固体废物有一般固废和危险固废。一般固废包括生活垃圾、废包装材料</w:t>
            </w:r>
            <w:r>
              <w:rPr>
                <w:rFonts w:hint="eastAsia" w:ascii="Times New Roman" w:hAnsi="Times New Roman" w:eastAsia="宋体"/>
                <w:color w:val="auto"/>
                <w:sz w:val="24"/>
                <w:szCs w:val="24"/>
                <w:lang w:eastAsia="zh-CN"/>
              </w:rPr>
              <w:t>、水性清洗剂废桶、</w:t>
            </w:r>
            <w:r>
              <w:rPr>
                <w:rFonts w:hint="eastAsia" w:ascii="Times New Roman" w:hAnsi="Times New Roman" w:eastAsia="宋体"/>
                <w:color w:val="auto"/>
                <w:kern w:val="0"/>
                <w:sz w:val="24"/>
                <w:szCs w:val="24"/>
                <w:lang w:eastAsia="zh-CN"/>
              </w:rPr>
              <w:t>单晶金刚石抛光液废桶</w:t>
            </w:r>
            <w:r>
              <w:rPr>
                <w:rFonts w:hint="eastAsia" w:ascii="Times New Roman" w:hAnsi="Times New Roman"/>
                <w:color w:val="auto"/>
                <w:kern w:val="0"/>
                <w:sz w:val="24"/>
                <w:szCs w:val="24"/>
                <w:lang w:eastAsia="zh-CN"/>
              </w:rPr>
              <w:t>、</w:t>
            </w:r>
            <w:r>
              <w:rPr>
                <w:rFonts w:hint="eastAsia" w:ascii="Times New Roman" w:hAnsi="Times New Roman" w:eastAsia="宋体"/>
                <w:color w:val="auto"/>
                <w:sz w:val="24"/>
                <w:szCs w:val="24"/>
                <w:lang w:eastAsia="zh-CN"/>
              </w:rPr>
              <w:t>清洗废水沉渣、</w:t>
            </w:r>
            <w:r>
              <w:rPr>
                <w:rFonts w:hint="eastAsia" w:ascii="Times New Roman" w:hAnsi="Times New Roman"/>
                <w:color w:val="auto"/>
                <w:sz w:val="24"/>
                <w:szCs w:val="24"/>
                <w:lang w:eastAsia="zh-CN"/>
              </w:rPr>
              <w:t>零部件抽样检查（物理实验）</w:t>
            </w:r>
            <w:r>
              <w:rPr>
                <w:rFonts w:hint="eastAsia" w:ascii="Times New Roman" w:hAnsi="Times New Roman" w:eastAsia="宋体"/>
                <w:color w:val="auto"/>
                <w:sz w:val="24"/>
                <w:szCs w:val="24"/>
              </w:rPr>
              <w:t>过程中产生的沉渣</w:t>
            </w:r>
            <w:r>
              <w:rPr>
                <w:rFonts w:hint="eastAsia" w:ascii="Times New Roman" w:hAnsi="Times New Roman" w:eastAsia="宋体"/>
                <w:color w:val="auto"/>
                <w:sz w:val="24"/>
                <w:szCs w:val="24"/>
                <w:lang w:eastAsia="zh-CN"/>
              </w:rPr>
              <w:t>等。（根据《国家危险废物名录》（</w:t>
            </w:r>
            <w:r>
              <w:rPr>
                <w:rFonts w:hint="eastAsia" w:ascii="Times New Roman" w:hAnsi="Times New Roman" w:eastAsia="宋体"/>
                <w:color w:val="auto"/>
                <w:sz w:val="24"/>
                <w:szCs w:val="24"/>
                <w:lang w:val="en-US" w:eastAsia="zh-CN"/>
              </w:rPr>
              <w:t>2016年</w:t>
            </w:r>
            <w:r>
              <w:rPr>
                <w:rFonts w:hint="eastAsia" w:ascii="Times New Roman" w:hAnsi="Times New Roman" w:eastAsia="宋体"/>
                <w:color w:val="auto"/>
                <w:sz w:val="24"/>
                <w:szCs w:val="24"/>
                <w:lang w:eastAsia="zh-CN"/>
              </w:rPr>
              <w:t>），本项目所用的水性清洗剂、</w:t>
            </w:r>
            <w:r>
              <w:rPr>
                <w:rFonts w:hint="eastAsia" w:ascii="Times New Roman" w:hAnsi="Times New Roman" w:eastAsia="宋体"/>
                <w:color w:val="auto"/>
                <w:kern w:val="0"/>
                <w:sz w:val="24"/>
                <w:szCs w:val="24"/>
                <w:lang w:eastAsia="zh-CN"/>
              </w:rPr>
              <w:t>单晶金刚石抛光液不具有腐蚀性、毒性、易燃性、反应性和感染性的危险特性，不属于危险废物</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。危险废物包括含油手套和棉纱</w:t>
            </w:r>
            <w:r>
              <w:rPr>
                <w:rFonts w:hint="eastAsia" w:ascii="Times New Roman" w:hAnsi="Times New Roman" w:eastAsia="宋体"/>
                <w:color w:val="auto"/>
                <w:sz w:val="24"/>
                <w:szCs w:val="24"/>
                <w:lang w:eastAsia="zh-CN"/>
              </w:rPr>
              <w:t>、粘合剂废桶、防锈油废桶、润滑液废桶</w:t>
            </w:r>
            <w:r>
              <w:rPr>
                <w:rFonts w:hint="eastAsia" w:ascii="Times New Roman" w:hAnsi="Times New Roman" w:eastAsia="宋体"/>
                <w:color w:val="auto"/>
                <w:kern w:val="0"/>
                <w:sz w:val="24"/>
                <w:szCs w:val="24"/>
                <w:lang w:eastAsia="zh-CN"/>
              </w:rPr>
              <w:t>、</w:t>
            </w:r>
            <w:r>
              <w:rPr>
                <w:rFonts w:hint="eastAsia" w:ascii="Times New Roman" w:hAnsi="Times New Roman" w:eastAsia="宋体"/>
                <w:color w:val="auto"/>
                <w:sz w:val="24"/>
                <w:szCs w:val="24"/>
                <w:lang w:eastAsia="zh-CN"/>
              </w:rPr>
              <w:t>废齿轮油、废水处理站污泥、废活性炭</w:t>
            </w:r>
            <w:r>
              <w:rPr>
                <w:rFonts w:hint="eastAsia" w:ascii="Times New Roman" w:hAnsi="Times New Roman" w:eastAsia="宋体"/>
                <w:color w:val="auto"/>
                <w:sz w:val="24"/>
                <w:szCs w:val="24"/>
              </w:rPr>
              <w:t>等。</w:t>
            </w:r>
          </w:p>
          <w:p>
            <w:pPr>
              <w:pStyle w:val="14"/>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生活垃圾交由环卫统一清运处理。废包装材料</w:t>
            </w:r>
            <w:r>
              <w:rPr>
                <w:rFonts w:hint="eastAsia" w:ascii="Times New Roman" w:hAnsi="Times New Roman" w:eastAsia="宋体"/>
                <w:color w:val="auto"/>
                <w:sz w:val="24"/>
                <w:szCs w:val="24"/>
                <w:lang w:eastAsia="zh-CN"/>
              </w:rPr>
              <w:t>、水性清洗剂废桶、</w:t>
            </w:r>
            <w:r>
              <w:rPr>
                <w:rFonts w:hint="eastAsia" w:ascii="Times New Roman" w:hAnsi="Times New Roman" w:eastAsia="宋体"/>
                <w:color w:val="auto"/>
                <w:kern w:val="0"/>
                <w:sz w:val="24"/>
                <w:szCs w:val="24"/>
                <w:lang w:eastAsia="zh-CN"/>
              </w:rPr>
              <w:t>单晶金刚石抛光液废桶</w:t>
            </w:r>
            <w:r>
              <w:rPr>
                <w:rFonts w:hint="eastAsia" w:ascii="Times New Roman" w:hAnsi="Times New Roman"/>
                <w:color w:val="auto"/>
                <w:kern w:val="0"/>
                <w:sz w:val="24"/>
                <w:szCs w:val="24"/>
                <w:lang w:eastAsia="zh-CN"/>
              </w:rPr>
              <w:t>、</w:t>
            </w:r>
            <w:r>
              <w:rPr>
                <w:rFonts w:hint="eastAsia" w:ascii="Times New Roman" w:hAnsi="Times New Roman" w:eastAsia="宋体"/>
                <w:color w:val="auto"/>
                <w:sz w:val="24"/>
                <w:szCs w:val="24"/>
              </w:rPr>
              <w:t>清洗</w:t>
            </w:r>
            <w:r>
              <w:rPr>
                <w:rFonts w:hint="eastAsia" w:ascii="Times New Roman" w:hAnsi="Times New Roman" w:eastAsia="宋体"/>
                <w:color w:val="auto"/>
                <w:sz w:val="24"/>
                <w:szCs w:val="24"/>
                <w:lang w:eastAsia="zh-CN"/>
              </w:rPr>
              <w:t>废水</w:t>
            </w:r>
            <w:r>
              <w:rPr>
                <w:rFonts w:hint="eastAsia" w:ascii="Times New Roman" w:hAnsi="Times New Roman" w:eastAsia="宋体"/>
                <w:color w:val="auto"/>
                <w:sz w:val="24"/>
                <w:szCs w:val="24"/>
              </w:rPr>
              <w:t>沉渣</w:t>
            </w:r>
            <w:r>
              <w:rPr>
                <w:rFonts w:hint="eastAsia" w:ascii="Times New Roman" w:hAnsi="Times New Roman" w:eastAsia="宋体"/>
                <w:color w:val="auto"/>
                <w:sz w:val="24"/>
                <w:szCs w:val="24"/>
                <w:lang w:eastAsia="zh-CN"/>
              </w:rPr>
              <w:t>、</w:t>
            </w:r>
            <w:r>
              <w:rPr>
                <w:rFonts w:hint="eastAsia" w:ascii="Times New Roman" w:hAnsi="Times New Roman"/>
                <w:color w:val="auto"/>
                <w:sz w:val="24"/>
                <w:szCs w:val="24"/>
                <w:lang w:eastAsia="zh-CN"/>
              </w:rPr>
              <w:t>零部件抽样检查</w:t>
            </w:r>
            <w:r>
              <w:rPr>
                <w:rFonts w:hint="eastAsia" w:ascii="Times New Roman" w:hAnsi="Times New Roman" w:eastAsia="宋体"/>
                <w:color w:val="auto"/>
                <w:sz w:val="24"/>
                <w:szCs w:val="24"/>
              </w:rPr>
              <w:t>过程中产生的沉渣外售给废品收购站。含油手套和棉纱</w:t>
            </w:r>
            <w:r>
              <w:rPr>
                <w:rFonts w:hint="eastAsia" w:ascii="Times New Roman" w:hAnsi="Times New Roman" w:eastAsia="宋体"/>
                <w:color w:val="auto"/>
                <w:sz w:val="24"/>
                <w:szCs w:val="24"/>
                <w:lang w:eastAsia="zh-CN"/>
              </w:rPr>
              <w:t>、粘合剂废桶、防锈油废桶、润滑液废桶、</w:t>
            </w:r>
            <w:r>
              <w:rPr>
                <w:rFonts w:hint="eastAsia" w:ascii="Times New Roman" w:hAnsi="Times New Roman" w:eastAsia="宋体"/>
                <w:color w:val="auto"/>
                <w:sz w:val="24"/>
                <w:szCs w:val="24"/>
                <w:lang w:val="en-US" w:eastAsia="zh-CN"/>
              </w:rPr>
              <w:t>废齿轮油、</w:t>
            </w:r>
            <w:r>
              <w:rPr>
                <w:rFonts w:hint="eastAsia" w:ascii="Times New Roman" w:hAnsi="Times New Roman" w:eastAsia="宋体"/>
                <w:color w:val="auto"/>
                <w:sz w:val="24"/>
                <w:szCs w:val="24"/>
                <w:lang w:eastAsia="zh-CN"/>
              </w:rPr>
              <w:t>废活性炭均</w:t>
            </w:r>
            <w:r>
              <w:rPr>
                <w:rFonts w:hint="eastAsia" w:ascii="Times New Roman" w:hAnsi="Times New Roman" w:eastAsia="宋体"/>
                <w:color w:val="auto"/>
                <w:sz w:val="24"/>
                <w:szCs w:val="24"/>
              </w:rPr>
              <w:t>暂存于危废暂存间</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交由四川中明环境治理有限公司统一处理。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三、验收监测结果</w:t>
            </w:r>
            <w:r>
              <w:rPr>
                <w:rFonts w:hint="eastAsia" w:ascii="Times New Roman" w:hAnsi="Times New Roman"/>
                <w:b/>
                <w:sz w:val="24"/>
                <w:szCs w:val="24"/>
              </w:rPr>
              <w:tab/>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根据四川中衡检测技术有限公司编制的《建设项目竣工环境保护验收监测表》（</w:t>
            </w:r>
            <w:r>
              <w:rPr>
                <w:rFonts w:hint="eastAsia" w:ascii="Times New Roman" w:hAnsi="Times New Roman"/>
                <w:sz w:val="24"/>
                <w:szCs w:val="24"/>
                <w:lang w:eastAsia="zh-CN"/>
              </w:rPr>
              <w:t>中衡检测验字</w:t>
            </w:r>
            <w:r>
              <w:rPr>
                <w:rFonts w:hint="eastAsia" w:ascii="Times New Roman" w:hAnsi="Times New Roman"/>
                <w:sz w:val="24"/>
                <w:szCs w:val="24"/>
                <w:lang w:val="en-US" w:eastAsia="zh-CN"/>
              </w:rPr>
              <w:t>[2017]第209号</w:t>
            </w:r>
            <w:r>
              <w:rPr>
                <w:rFonts w:hint="eastAsia" w:ascii="Times New Roman" w:hAnsi="Times New Roman"/>
                <w:sz w:val="24"/>
                <w:szCs w:val="24"/>
              </w:rPr>
              <w:t>），验收监测结论如下：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1.废水监测结果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验收监测期间，</w:t>
            </w:r>
            <w:r>
              <w:rPr>
                <w:rFonts w:hint="eastAsia" w:ascii="Times New Roman" w:hAnsi="Times New Roman"/>
                <w:sz w:val="24"/>
                <w:szCs w:val="24"/>
                <w:lang w:eastAsia="zh-CN"/>
              </w:rPr>
              <w:t>厂区总排口的</w:t>
            </w:r>
            <w:r>
              <w:rPr>
                <w:rFonts w:ascii="Times New Roman" w:hAnsi="Times New Roman" w:eastAsia="宋体"/>
                <w:color w:val="auto"/>
                <w:sz w:val="24"/>
                <w:szCs w:val="24"/>
              </w:rPr>
              <w:t>所测</w:t>
            </w:r>
            <w:r>
              <w:rPr>
                <w:rFonts w:hint="eastAsia" w:ascii="Times New Roman" w:hAnsi="Times New Roman" w:eastAsia="宋体"/>
                <w:color w:val="auto"/>
                <w:sz w:val="24"/>
                <w:szCs w:val="24"/>
              </w:rPr>
              <w:t>的pH值、COD、BOD</w:t>
            </w:r>
            <w:r>
              <w:rPr>
                <w:rFonts w:hint="eastAsia" w:ascii="Times New Roman" w:hAnsi="Times New Roman" w:eastAsia="宋体"/>
                <w:color w:val="auto"/>
                <w:sz w:val="24"/>
                <w:szCs w:val="24"/>
                <w:vertAlign w:val="subscript"/>
              </w:rPr>
              <w:t>5</w:t>
            </w:r>
            <w:r>
              <w:rPr>
                <w:rFonts w:hint="eastAsia" w:ascii="Times New Roman" w:hAnsi="Times New Roman" w:eastAsia="宋体"/>
                <w:color w:val="auto"/>
                <w:sz w:val="24"/>
                <w:szCs w:val="24"/>
              </w:rPr>
              <w:t>、SS、阴离子表面活性剂、动植物油均</w:t>
            </w:r>
            <w:r>
              <w:rPr>
                <w:rFonts w:ascii="Times New Roman" w:hAnsi="Times New Roman" w:eastAsia="宋体"/>
                <w:color w:val="auto"/>
                <w:sz w:val="24"/>
                <w:szCs w:val="24"/>
              </w:rPr>
              <w:t>满足</w:t>
            </w:r>
            <w:r>
              <w:rPr>
                <w:rFonts w:hint="eastAsia" w:ascii="Times New Roman" w:hAnsi="Times New Roman" w:eastAsia="宋体"/>
                <w:color w:val="auto"/>
                <w:sz w:val="24"/>
                <w:szCs w:val="24"/>
              </w:rPr>
              <w:t>执行《污水综合排放标准》（GB8978-1996）表4中</w:t>
            </w:r>
            <w:r>
              <w:rPr>
                <w:rFonts w:hint="eastAsia" w:ascii="Times New Roman" w:hAnsi="Times New Roman" w:eastAsia="宋体" w:cs="宋体"/>
                <w:color w:val="auto"/>
                <w:sz w:val="24"/>
                <w:szCs w:val="24"/>
              </w:rPr>
              <w:t>3级标准限值；氨氮满足《污水排入城镇下水道水质标准》（GB/T31962-2015）表1中B级标准</w:t>
            </w:r>
            <w:r>
              <w:rPr>
                <w:rFonts w:hint="eastAsia" w:ascii="Times New Roman" w:hAnsi="Times New Roman"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2.废气监测结果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ascii="Times New Roman" w:hAnsi="Times New Roman" w:eastAsia="宋体"/>
                <w:color w:val="auto"/>
                <w:sz w:val="24"/>
                <w:szCs w:val="24"/>
              </w:rPr>
            </w:pPr>
            <w:r>
              <w:rPr>
                <w:rFonts w:ascii="Times New Roman" w:hAnsi="Times New Roman" w:eastAsia="宋体"/>
                <w:color w:val="auto"/>
                <w:sz w:val="24"/>
                <w:szCs w:val="24"/>
              </w:rPr>
              <w:t>监测结果表明，无组织</w:t>
            </w:r>
            <w:r>
              <w:rPr>
                <w:rFonts w:hint="eastAsia" w:ascii="Times New Roman" w:hAnsi="Times New Roman" w:eastAsia="宋体"/>
                <w:color w:val="auto"/>
                <w:sz w:val="24"/>
                <w:szCs w:val="24"/>
                <w:lang w:eastAsia="zh-CN"/>
              </w:rPr>
              <w:t>废气</w:t>
            </w:r>
            <w:r>
              <w:rPr>
                <w:rFonts w:hint="eastAsia" w:ascii="Times New Roman" w:hAnsi="Times New Roman" w:eastAsia="宋体"/>
                <w:color w:val="auto"/>
                <w:sz w:val="24"/>
                <w:szCs w:val="24"/>
              </w:rPr>
              <w:t>颗粒物浓度</w:t>
            </w:r>
            <w:r>
              <w:rPr>
                <w:rFonts w:ascii="Times New Roman" w:hAnsi="Times New Roman" w:eastAsia="宋体"/>
                <w:color w:val="auto"/>
                <w:sz w:val="24"/>
                <w:szCs w:val="24"/>
              </w:rPr>
              <w:t>满足《大气污染物综排放标准》（GB8978-1996）表2无组织排放</w:t>
            </w:r>
            <w:r>
              <w:rPr>
                <w:rFonts w:hint="eastAsia" w:ascii="Times New Roman" w:hAnsi="Times New Roman" w:eastAsia="宋体"/>
                <w:color w:val="auto"/>
                <w:sz w:val="24"/>
                <w:szCs w:val="24"/>
              </w:rPr>
              <w:t>监控</w:t>
            </w:r>
            <w:r>
              <w:rPr>
                <w:rFonts w:ascii="Times New Roman" w:hAnsi="Times New Roman" w:eastAsia="宋体"/>
                <w:color w:val="auto"/>
                <w:sz w:val="24"/>
                <w:szCs w:val="24"/>
              </w:rPr>
              <w:t>浓度限值。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无组织废气（挥发性有机物、甲苯、二甲苯）监测结果均符合《工业企业挥发性有机物排放控制标准》DB12/524-2014表</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中其他行业</w:t>
            </w:r>
            <w:r>
              <w:rPr>
                <w:rFonts w:hint="eastAsia" w:ascii="Times New Roman" w:hAnsi="Times New Roman" w:eastAsia="宋体"/>
                <w:color w:val="auto"/>
                <w:sz w:val="24"/>
                <w:szCs w:val="24"/>
                <w:lang w:eastAsia="zh-CN"/>
              </w:rPr>
              <w:t>厂界监控点浓度限值。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eastAsia="宋体" w:cs="宋体"/>
                <w:color w:val="auto"/>
                <w:sz w:val="24"/>
                <w:szCs w:val="24"/>
              </w:rPr>
            </w:pPr>
            <w:r>
              <w:rPr>
                <w:rFonts w:hint="eastAsia" w:ascii="Times New Roman" w:hAnsi="Times New Roman" w:eastAsia="宋体"/>
                <w:color w:val="auto"/>
                <w:sz w:val="24"/>
                <w:szCs w:val="24"/>
              </w:rPr>
              <w:t>食堂油烟满足</w:t>
            </w:r>
            <w:r>
              <w:rPr>
                <w:rFonts w:hint="eastAsia" w:ascii="Times New Roman" w:hAnsi="Times New Roman" w:eastAsia="宋体" w:cs="宋体"/>
                <w:color w:val="auto"/>
                <w:sz w:val="24"/>
                <w:szCs w:val="24"/>
              </w:rPr>
              <w:t>《饮食业油烟排放标准（试行）》（GB18483-2001）表2中最高允许排放浓度</w:t>
            </w:r>
            <w:r>
              <w:rPr>
                <w:rFonts w:hint="eastAsia" w:ascii="Times New Roman" w:hAnsi="Times New Roman"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3.噪声监测结果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验收监测期间，厂界环境噪声满足《工业企业厂界环境噪声标准》（GB12348-2008）表1中</w:t>
            </w:r>
            <w:r>
              <w:rPr>
                <w:rFonts w:hint="eastAsia" w:ascii="Times New Roman" w:hAnsi="Times New Roman"/>
                <w:sz w:val="24"/>
                <w:szCs w:val="24"/>
                <w:lang w:val="en-US" w:eastAsia="zh-CN"/>
              </w:rPr>
              <w:t>3</w:t>
            </w:r>
            <w:r>
              <w:rPr>
                <w:rFonts w:hint="eastAsia" w:ascii="Times New Roman" w:hAnsi="Times New Roman"/>
                <w:sz w:val="24"/>
                <w:szCs w:val="24"/>
              </w:rPr>
              <w:t>类功能区标准。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4.固体废弃物处置情况检查结果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该项目在营运期产生的固体废物有一般固废和危险固废。一般固废包括生活垃圾、废包装材料</w:t>
            </w:r>
            <w:r>
              <w:rPr>
                <w:rFonts w:hint="eastAsia" w:ascii="Times New Roman" w:hAnsi="Times New Roman"/>
                <w:b w:val="0"/>
                <w:bCs/>
                <w:sz w:val="24"/>
                <w:szCs w:val="24"/>
                <w:lang w:eastAsia="zh-CN"/>
              </w:rPr>
              <w:t>、水性清洗剂废桶、单晶金刚石抛光液废桶、清洗废水沉渣、零部件抽样检查（物理实验）</w:t>
            </w:r>
            <w:r>
              <w:rPr>
                <w:rFonts w:hint="eastAsia" w:ascii="Times New Roman" w:hAnsi="Times New Roman"/>
                <w:b w:val="0"/>
                <w:bCs/>
                <w:sz w:val="24"/>
                <w:szCs w:val="24"/>
              </w:rPr>
              <w:t>过程中产生的沉渣</w:t>
            </w:r>
            <w:r>
              <w:rPr>
                <w:rFonts w:hint="eastAsia" w:ascii="Times New Roman" w:hAnsi="Times New Roman"/>
                <w:b w:val="0"/>
                <w:bCs/>
                <w:sz w:val="24"/>
                <w:szCs w:val="24"/>
                <w:lang w:eastAsia="zh-CN"/>
              </w:rPr>
              <w:t>等。（根据《国家危险废物名录》（</w:t>
            </w:r>
            <w:r>
              <w:rPr>
                <w:rFonts w:hint="eastAsia" w:ascii="Times New Roman" w:hAnsi="Times New Roman"/>
                <w:b w:val="0"/>
                <w:bCs/>
                <w:sz w:val="24"/>
                <w:szCs w:val="24"/>
                <w:lang w:val="en-US" w:eastAsia="zh-CN"/>
              </w:rPr>
              <w:t>2016年</w:t>
            </w:r>
            <w:r>
              <w:rPr>
                <w:rFonts w:hint="eastAsia" w:ascii="Times New Roman" w:hAnsi="Times New Roman"/>
                <w:b w:val="0"/>
                <w:bCs/>
                <w:sz w:val="24"/>
                <w:szCs w:val="24"/>
                <w:lang w:eastAsia="zh-CN"/>
              </w:rPr>
              <w:t>），本项目所用的水性清洗剂、单晶金刚石抛光液不具有腐蚀性、毒性、易燃性、反应性和感染性的危险特性，不属于危险废物）</w:t>
            </w:r>
            <w:r>
              <w:rPr>
                <w:rFonts w:hint="eastAsia" w:ascii="Times New Roman" w:hAnsi="Times New Roman"/>
                <w:b w:val="0"/>
                <w:bCs/>
                <w:sz w:val="24"/>
                <w:szCs w:val="24"/>
              </w:rPr>
              <w:t>。危险废物包括含油手套和棉纱</w:t>
            </w:r>
            <w:r>
              <w:rPr>
                <w:rFonts w:hint="eastAsia" w:ascii="Times New Roman" w:hAnsi="Times New Roman"/>
                <w:b w:val="0"/>
                <w:bCs/>
                <w:sz w:val="24"/>
                <w:szCs w:val="24"/>
                <w:lang w:eastAsia="zh-CN"/>
              </w:rPr>
              <w:t>、粘合剂废桶、防锈油废桶、润滑液废桶、废齿轮油、废水处理站污泥、废活性炭</w:t>
            </w:r>
            <w:r>
              <w:rPr>
                <w:rFonts w:hint="eastAsia" w:ascii="Times New Roman" w:hAnsi="Times New Roman"/>
                <w:b w:val="0"/>
                <w:bCs/>
                <w:sz w:val="24"/>
                <w:szCs w:val="24"/>
              </w:rPr>
              <w:t>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生活垃圾交由环卫统一清运处理。废包装材料</w:t>
            </w:r>
            <w:r>
              <w:rPr>
                <w:rFonts w:hint="eastAsia" w:ascii="Times New Roman" w:hAnsi="Times New Roman"/>
                <w:b w:val="0"/>
                <w:bCs/>
                <w:sz w:val="24"/>
                <w:szCs w:val="24"/>
                <w:lang w:eastAsia="zh-CN"/>
              </w:rPr>
              <w:t>、水性清洗剂废桶、单晶金刚石抛光液废桶、</w:t>
            </w:r>
            <w:r>
              <w:rPr>
                <w:rFonts w:hint="eastAsia" w:ascii="Times New Roman" w:hAnsi="Times New Roman"/>
                <w:b w:val="0"/>
                <w:bCs/>
                <w:sz w:val="24"/>
                <w:szCs w:val="24"/>
              </w:rPr>
              <w:t>清洗</w:t>
            </w:r>
            <w:r>
              <w:rPr>
                <w:rFonts w:hint="eastAsia" w:ascii="Times New Roman" w:hAnsi="Times New Roman"/>
                <w:b w:val="0"/>
                <w:bCs/>
                <w:sz w:val="24"/>
                <w:szCs w:val="24"/>
                <w:lang w:eastAsia="zh-CN"/>
              </w:rPr>
              <w:t>废水</w:t>
            </w:r>
            <w:r>
              <w:rPr>
                <w:rFonts w:hint="eastAsia" w:ascii="Times New Roman" w:hAnsi="Times New Roman"/>
                <w:b w:val="0"/>
                <w:bCs/>
                <w:sz w:val="24"/>
                <w:szCs w:val="24"/>
              </w:rPr>
              <w:t>沉渣</w:t>
            </w:r>
            <w:r>
              <w:rPr>
                <w:rFonts w:hint="eastAsia" w:ascii="Times New Roman" w:hAnsi="Times New Roman"/>
                <w:b w:val="0"/>
                <w:bCs/>
                <w:sz w:val="24"/>
                <w:szCs w:val="24"/>
                <w:lang w:eastAsia="zh-CN"/>
              </w:rPr>
              <w:t>、零部件抽样检查</w:t>
            </w:r>
            <w:r>
              <w:rPr>
                <w:rFonts w:hint="eastAsia" w:ascii="Times New Roman" w:hAnsi="Times New Roman"/>
                <w:b w:val="0"/>
                <w:bCs/>
                <w:sz w:val="24"/>
                <w:szCs w:val="24"/>
              </w:rPr>
              <w:t>过程中产生的沉渣外售给废品收购站。含油手套和棉纱</w:t>
            </w:r>
            <w:r>
              <w:rPr>
                <w:rFonts w:hint="eastAsia" w:ascii="Times New Roman" w:hAnsi="Times New Roman"/>
                <w:b w:val="0"/>
                <w:bCs/>
                <w:sz w:val="24"/>
                <w:szCs w:val="24"/>
                <w:lang w:eastAsia="zh-CN"/>
              </w:rPr>
              <w:t>、粘合剂废桶、防锈油废桶、润滑液废桶、</w:t>
            </w:r>
            <w:r>
              <w:rPr>
                <w:rFonts w:hint="eastAsia" w:ascii="Times New Roman" w:hAnsi="Times New Roman"/>
                <w:b w:val="0"/>
                <w:bCs/>
                <w:sz w:val="24"/>
                <w:szCs w:val="24"/>
                <w:lang w:val="en-US" w:eastAsia="zh-CN"/>
              </w:rPr>
              <w:t>废齿轮油、</w:t>
            </w:r>
            <w:r>
              <w:rPr>
                <w:rFonts w:hint="eastAsia" w:ascii="Times New Roman" w:hAnsi="Times New Roman"/>
                <w:b w:val="0"/>
                <w:bCs/>
                <w:sz w:val="24"/>
                <w:szCs w:val="24"/>
                <w:lang w:eastAsia="zh-CN"/>
              </w:rPr>
              <w:t>废活性炭均</w:t>
            </w:r>
            <w:r>
              <w:rPr>
                <w:rFonts w:hint="eastAsia" w:ascii="Times New Roman" w:hAnsi="Times New Roman"/>
                <w:b w:val="0"/>
                <w:bCs/>
                <w:sz w:val="24"/>
                <w:szCs w:val="24"/>
              </w:rPr>
              <w:t>暂存于危废暂存间</w:t>
            </w:r>
            <w:r>
              <w:rPr>
                <w:rFonts w:hint="eastAsia" w:ascii="Times New Roman" w:hAnsi="Times New Roman"/>
                <w:b w:val="0"/>
                <w:bCs/>
                <w:sz w:val="24"/>
                <w:szCs w:val="24"/>
                <w:lang w:eastAsia="zh-CN"/>
              </w:rPr>
              <w:t>，</w:t>
            </w:r>
            <w:r>
              <w:rPr>
                <w:rFonts w:hint="eastAsia" w:ascii="Times New Roman" w:hAnsi="Times New Roman"/>
                <w:b w:val="0"/>
                <w:bCs/>
                <w:sz w:val="24"/>
                <w:szCs w:val="24"/>
              </w:rPr>
              <w:t>交由四川中明环境治理有限公司统一处理。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ascii="Times New Roman" w:hAnsi="Times New Roman"/>
                <w:b/>
                <w:sz w:val="24"/>
                <w:szCs w:val="24"/>
              </w:rPr>
            </w:pPr>
            <w:r>
              <w:rPr>
                <w:rFonts w:hint="eastAsia" w:ascii="Times New Roman" w:hAnsi="Times New Roman"/>
                <w:b/>
                <w:sz w:val="24"/>
                <w:szCs w:val="24"/>
              </w:rPr>
              <w:t>5.</w:t>
            </w:r>
            <w:r>
              <w:rPr>
                <w:rFonts w:ascii="Times New Roman" w:hAnsi="Times New Roman"/>
                <w:b/>
                <w:sz w:val="24"/>
                <w:szCs w:val="24"/>
              </w:rPr>
              <w:t xml:space="preserve"> 污染物排放总量验收结论</w:t>
            </w:r>
          </w:p>
          <w:p>
            <w:pPr>
              <w:spacing w:line="360" w:lineRule="auto"/>
              <w:ind w:firstLine="482"/>
              <w:rPr>
                <w:rFonts w:hint="eastAsia" w:ascii="Times New Roman" w:hAnsi="Times New Roman"/>
                <w:sz w:val="24"/>
                <w:szCs w:val="24"/>
              </w:rPr>
            </w:pPr>
            <w:r>
              <w:rPr>
                <w:rFonts w:hint="eastAsia" w:ascii="Times New Roman" w:hAnsi="Times New Roman"/>
                <w:sz w:val="24"/>
                <w:szCs w:val="24"/>
              </w:rPr>
              <w:t>本项目</w:t>
            </w:r>
            <w:r>
              <w:rPr>
                <w:rFonts w:ascii="Times New Roman" w:hAnsi="Times New Roman"/>
                <w:sz w:val="24"/>
                <w:szCs w:val="24"/>
              </w:rPr>
              <w:t>污染物排</w:t>
            </w:r>
            <w:r>
              <w:rPr>
                <w:rFonts w:hint="eastAsia" w:ascii="Times New Roman" w:hAnsi="Times New Roman"/>
                <w:sz w:val="24"/>
                <w:szCs w:val="24"/>
              </w:rPr>
              <w:t>放总量控制指标：</w:t>
            </w:r>
            <w:r>
              <w:rPr>
                <w:rFonts w:hint="eastAsia" w:ascii="Times New Roman" w:hAnsi="Times New Roman" w:eastAsia="宋体"/>
                <w:sz w:val="24"/>
                <w:szCs w:val="24"/>
              </w:rPr>
              <w:t>COD</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0.245</w:t>
            </w:r>
            <w:r>
              <w:rPr>
                <w:rFonts w:hint="eastAsia" w:ascii="Times New Roman" w:hAnsi="Times New Roman" w:eastAsia="宋体"/>
                <w:sz w:val="24"/>
                <w:szCs w:val="24"/>
              </w:rPr>
              <w:t>t/a，</w:t>
            </w:r>
            <w:r>
              <w:rPr>
                <w:rFonts w:ascii="Times New Roman" w:hAnsi="Times New Roman" w:eastAsia="宋体"/>
                <w:sz w:val="24"/>
                <w:szCs w:val="24"/>
              </w:rPr>
              <w:t>NH</w:t>
            </w:r>
            <w:r>
              <w:rPr>
                <w:rFonts w:ascii="Times New Roman" w:hAnsi="Times New Roman" w:eastAsia="宋体"/>
                <w:spacing w:val="1"/>
                <w:position w:val="-2"/>
                <w:sz w:val="24"/>
                <w:szCs w:val="24"/>
              </w:rPr>
              <w:t>3</w:t>
            </w:r>
            <w:r>
              <w:rPr>
                <w:rFonts w:ascii="Times New Roman" w:hAnsi="Times New Roman" w:eastAsia="宋体"/>
                <w:sz w:val="24"/>
                <w:szCs w:val="24"/>
              </w:rPr>
              <w:t>-N</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0.025</w:t>
            </w:r>
            <w:r>
              <w:rPr>
                <w:rFonts w:hint="eastAsia" w:ascii="Times New Roman" w:hAnsi="Times New Roman" w:eastAsia="宋体"/>
                <w:sz w:val="24"/>
                <w:szCs w:val="24"/>
              </w:rPr>
              <w:t>t/a</w:t>
            </w:r>
            <w:r>
              <w:rPr>
                <w:rFonts w:hint="eastAsia" w:ascii="Times New Roman" w:hAnsi="Times New Roman" w:eastAsia="宋体"/>
                <w:snapToGrid w:val="0"/>
                <w:kern w:val="0"/>
                <w:sz w:val="24"/>
                <w:szCs w:val="24"/>
                <w:lang w:val="fr-FR"/>
              </w:rPr>
              <w:t>。</w:t>
            </w:r>
            <w:r>
              <w:rPr>
                <w:rFonts w:hint="eastAsia" w:ascii="Times New Roman" w:hAnsi="Times New Roman"/>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6.公众意见调查结果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对项目区域范围内公众</w:t>
            </w:r>
            <w:r>
              <w:rPr>
                <w:rFonts w:ascii="Times New Roman" w:hAnsi="Times New Roman"/>
                <w:sz w:val="24"/>
                <w:szCs w:val="24"/>
              </w:rPr>
              <w:t>发放</w:t>
            </w:r>
            <w:r>
              <w:rPr>
                <w:rFonts w:hint="eastAsia" w:ascii="Times New Roman" w:hAnsi="Times New Roman"/>
                <w:sz w:val="24"/>
                <w:szCs w:val="24"/>
              </w:rPr>
              <w:t>30</w:t>
            </w:r>
            <w:r>
              <w:rPr>
                <w:rFonts w:ascii="Times New Roman" w:hAnsi="Times New Roman"/>
                <w:sz w:val="24"/>
                <w:szCs w:val="24"/>
              </w:rPr>
              <w:t>份</w:t>
            </w:r>
            <w:r>
              <w:rPr>
                <w:rFonts w:hint="eastAsia" w:ascii="Times New Roman" w:hAnsi="Times New Roman"/>
                <w:sz w:val="24"/>
                <w:szCs w:val="24"/>
              </w:rPr>
              <w:t>公众意见</w:t>
            </w:r>
            <w:r>
              <w:rPr>
                <w:rFonts w:ascii="Times New Roman" w:hAnsi="Times New Roman"/>
                <w:sz w:val="24"/>
                <w:szCs w:val="24"/>
              </w:rPr>
              <w:t>调查表，收回有效表为</w:t>
            </w:r>
            <w:r>
              <w:rPr>
                <w:rFonts w:hint="eastAsia" w:ascii="Times New Roman" w:hAnsi="Times New Roman"/>
                <w:sz w:val="24"/>
                <w:szCs w:val="24"/>
              </w:rPr>
              <w:t>30</w:t>
            </w:r>
            <w:r>
              <w:rPr>
                <w:rFonts w:ascii="Times New Roman" w:hAnsi="Times New Roman"/>
                <w:sz w:val="24"/>
                <w:szCs w:val="24"/>
              </w:rPr>
              <w:t>份，回收率为</w:t>
            </w:r>
            <w:r>
              <w:rPr>
                <w:rFonts w:hint="eastAsia" w:ascii="Times New Roman" w:hAnsi="Times New Roman"/>
                <w:sz w:val="24"/>
                <w:szCs w:val="24"/>
              </w:rPr>
              <w:t>100</w:t>
            </w:r>
            <w:r>
              <w:rPr>
                <w:rFonts w:ascii="Times New Roman" w:hAnsi="Times New Roman"/>
                <w:sz w:val="24"/>
                <w:szCs w:val="24"/>
              </w:rPr>
              <w:t>%，调查对象主要是</w:t>
            </w:r>
            <w:r>
              <w:rPr>
                <w:rFonts w:hint="eastAsia" w:ascii="Times New Roman" w:hAnsi="Times New Roman"/>
                <w:sz w:val="24"/>
                <w:szCs w:val="24"/>
              </w:rPr>
              <w:t>当地居民</w:t>
            </w:r>
            <w:r>
              <w:rPr>
                <w:rFonts w:hint="eastAsia" w:ascii="Times New Roman" w:hAnsi="Times New Roman"/>
                <w:sz w:val="24"/>
                <w:szCs w:val="24"/>
                <w:lang w:eastAsia="zh-CN"/>
              </w:rPr>
              <w:t>和周围公司员工</w:t>
            </w:r>
            <w:r>
              <w:rPr>
                <w:rFonts w:hint="eastAsia" w:ascii="Times New Roman" w:hAnsi="Times New Roman"/>
                <w:sz w:val="24"/>
                <w:szCs w:val="24"/>
              </w:rPr>
              <w:t>，具有一定代表性</w:t>
            </w:r>
            <w:r>
              <w:rPr>
                <w:rFonts w:ascii="Times New Roman" w:hAnsi="Times New Roman"/>
                <w:sz w:val="24"/>
                <w:szCs w:val="24"/>
              </w:rPr>
              <w:t>。</w:t>
            </w:r>
            <w:r>
              <w:rPr>
                <w:rFonts w:hint="eastAsia" w:ascii="Times New Roman" w:hAnsi="Times New Roman"/>
                <w:sz w:val="24"/>
                <w:szCs w:val="24"/>
              </w:rPr>
              <w:t>经统计被调查者均对该项目环保工作持满意和基本满意态度。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7.环境管理检查</w:t>
            </w:r>
          </w:p>
          <w:p>
            <w:pPr>
              <w:spacing w:line="360" w:lineRule="auto"/>
              <w:ind w:firstLine="456" w:firstLineChars="200"/>
              <w:rPr>
                <w:rFonts w:ascii="Times New Roman" w:hAnsi="Times New Roman" w:eastAsia="宋体"/>
                <w:color w:val="auto"/>
                <w:sz w:val="24"/>
                <w:szCs w:val="24"/>
              </w:rPr>
            </w:pPr>
            <w:r>
              <w:rPr>
                <w:rFonts w:ascii="Times New Roman" w:hAnsi="Times New Roman" w:eastAsia="宋体"/>
                <w:color w:val="auto"/>
                <w:spacing w:val="-6"/>
                <w:sz w:val="24"/>
                <w:szCs w:val="24"/>
              </w:rPr>
              <w:t>四川现代岱摩斯汽车系统有限公司</w:t>
            </w:r>
            <w:r>
              <w:rPr>
                <w:rFonts w:ascii="Times New Roman" w:hAnsi="Times New Roman" w:eastAsia="宋体"/>
                <w:color w:val="auto"/>
                <w:sz w:val="24"/>
                <w:szCs w:val="24"/>
              </w:rPr>
              <w:t>成立了环保组织机构。</w:t>
            </w:r>
            <w:r>
              <w:rPr>
                <w:rFonts w:hint="eastAsia" w:ascii="Times New Roman" w:hAnsi="Times New Roman" w:eastAsia="宋体"/>
                <w:color w:val="auto"/>
                <w:sz w:val="24"/>
                <w:szCs w:val="24"/>
                <w:lang w:eastAsia="zh-CN"/>
              </w:rPr>
              <w:t>由朴炯九任组长，崔泰敏、崔镇赫、吴仁奎、金秀来、黄普焕为成员组成了环境污染防治工作领导小组。负责对公司的环境保护工作进行决策、监督和协调。设立总务部，作为环境污染防治工作的管理部门，负责公司日常管理，负责新扩建项目的“三同时”验收、“三废”排放管理及固体废弃物管理等相关工作。</w:t>
            </w:r>
          </w:p>
          <w:p>
            <w:pPr>
              <w:spacing w:line="360" w:lineRule="auto"/>
              <w:ind w:firstLine="456" w:firstLineChars="200"/>
              <w:rPr>
                <w:rFonts w:ascii="Times New Roman" w:hAnsi="Times New Roman" w:eastAsia="宋体"/>
                <w:color w:val="auto"/>
                <w:sz w:val="24"/>
                <w:szCs w:val="24"/>
              </w:rPr>
            </w:pPr>
            <w:r>
              <w:rPr>
                <w:rFonts w:ascii="Times New Roman" w:hAnsi="Times New Roman" w:eastAsia="宋体"/>
                <w:color w:val="auto"/>
                <w:spacing w:val="-6"/>
                <w:sz w:val="24"/>
                <w:szCs w:val="24"/>
              </w:rPr>
              <w:t>四川现代岱摩斯汽车系统有限公司</w:t>
            </w:r>
            <w:r>
              <w:rPr>
                <w:rFonts w:ascii="Times New Roman" w:hAnsi="Times New Roman" w:eastAsia="宋体"/>
                <w:color w:val="auto"/>
                <w:sz w:val="24"/>
                <w:szCs w:val="24"/>
              </w:rPr>
              <w:t>将环境管理纳入了</w:t>
            </w:r>
            <w:r>
              <w:rPr>
                <w:rFonts w:hint="eastAsia" w:ascii="Times New Roman" w:hAnsi="Times New Roman" w:eastAsia="宋体"/>
                <w:color w:val="auto"/>
                <w:sz w:val="24"/>
                <w:szCs w:val="24"/>
              </w:rPr>
              <w:t>公司</w:t>
            </w:r>
            <w:r>
              <w:rPr>
                <w:rFonts w:ascii="Times New Roman" w:hAnsi="Times New Roman" w:eastAsia="宋体"/>
                <w:color w:val="auto"/>
                <w:sz w:val="24"/>
                <w:szCs w:val="24"/>
              </w:rPr>
              <w:t>日常运行管理当中，在营运过程中建立了</w:t>
            </w:r>
            <w:r>
              <w:rPr>
                <w:rFonts w:hint="eastAsia" w:ascii="Times New Roman" w:hAnsi="Times New Roman" w:eastAsia="宋体"/>
                <w:color w:val="auto"/>
                <w:sz w:val="24"/>
                <w:szCs w:val="24"/>
              </w:rPr>
              <w:t>以《环境污染防治管理制度》和《环境污染防治责任制度》为主的</w:t>
            </w:r>
            <w:r>
              <w:rPr>
                <w:rFonts w:ascii="Times New Roman" w:hAnsi="Times New Roman" w:eastAsia="宋体"/>
                <w:color w:val="auto"/>
                <w:sz w:val="24"/>
                <w:szCs w:val="24"/>
              </w:rPr>
              <w:t>环境管理制度。建立了环境管理体系，</w:t>
            </w:r>
            <w:r>
              <w:rPr>
                <w:rFonts w:hint="eastAsia" w:ascii="Times New Roman" w:hAnsi="Times New Roman" w:eastAsia="宋体"/>
                <w:color w:val="auto"/>
                <w:sz w:val="24"/>
                <w:szCs w:val="24"/>
                <w:lang w:eastAsia="zh-CN"/>
              </w:rPr>
              <w:t>建有突发环境事件应急预案，</w:t>
            </w:r>
            <w:r>
              <w:rPr>
                <w:rFonts w:hint="eastAsia" w:ascii="Times New Roman" w:hAnsi="Times New Roman" w:eastAsia="宋体"/>
                <w:color w:val="auto"/>
                <w:sz w:val="24"/>
                <w:szCs w:val="24"/>
              </w:rPr>
              <w:t>明确了</w:t>
            </w:r>
            <w:r>
              <w:rPr>
                <w:rFonts w:ascii="Times New Roman" w:hAnsi="Times New Roman" w:eastAsia="宋体"/>
                <w:color w:val="auto"/>
                <w:sz w:val="24"/>
                <w:szCs w:val="24"/>
              </w:rPr>
              <w:t>相应的污染事故处置措施、事故上报流程及时恢复流程等。成立了环保组织机构，将环保工作纳入日常生产当中，在生产全过程建立了环境管理制度。</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right="0" w:rightChars="0" w:firstLine="472" w:firstLineChars="196"/>
              <w:textAlignment w:val="auto"/>
              <w:outlineLvl w:val="9"/>
              <w:rPr>
                <w:rFonts w:hint="eastAsia" w:ascii="宋体" w:hAnsi="宋体"/>
                <w:b/>
                <w:bCs/>
                <w:sz w:val="24"/>
              </w:rPr>
            </w:pPr>
            <w:r>
              <w:rPr>
                <w:rFonts w:hint="eastAsia" w:ascii="Times New Roman" w:hAnsi="Times New Roman"/>
                <w:b/>
                <w:bCs/>
                <w:sz w:val="24"/>
                <w:szCs w:val="24"/>
                <w:lang w:eastAsia="zh-CN"/>
              </w:rPr>
              <w:t>建议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rPr>
              <w:t>加强对各项环保设施的日常管理和维护，确保各项污染物长期稳定达标排放，进一步加强危险废物的分类贮存、运输、处理等过程的管理，防止造成二次污染</w:t>
            </w:r>
            <w:r>
              <w:rPr>
                <w:rFonts w:ascii="Times New Roman" w:hAnsi="Times New Roman" w:eastAsia="宋体"/>
                <w:color w:val="auto"/>
                <w:sz w:val="24"/>
                <w:szCs w:val="24"/>
              </w:rPr>
              <w:t>。</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w:t>
            </w:r>
            <w:r>
              <w:rPr>
                <w:rFonts w:hint="eastAsia" w:ascii="Times New Roman" w:hAnsi="Times New Roman" w:eastAsia="宋体"/>
                <w:color w:val="auto"/>
                <w:sz w:val="24"/>
                <w:szCs w:val="24"/>
              </w:rPr>
              <w:t>强化管理，接受当地环保部门的监督和管理</w:t>
            </w:r>
            <w:r>
              <w:rPr>
                <w:rFonts w:ascii="Times New Roman" w:hAnsi="Times New Roman" w:eastAsia="宋体"/>
                <w:color w:val="auto"/>
                <w:sz w:val="24"/>
                <w:szCs w:val="24"/>
              </w:rPr>
              <w:t>。</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3.若危险废物储存量太多，而四川中明环境治理有限公司因为自身原因不能及时运走处理，则建议多修建一个危废暂存间，用于存放危险废物，防止危险废物污染环境。</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4.做好危险物仓库、油类储存仓库、储罐区等地区的日常消防、巡逻工作。</w:t>
            </w:r>
          </w:p>
          <w:p>
            <w:pPr>
              <w:ind w:firstLine="480" w:firstLineChars="200"/>
              <w:jc w:val="left"/>
              <w:rPr>
                <w:rFonts w:hint="eastAsia" w:ascii="仿宋_GB2312" w:eastAsia="仿宋_GB2312"/>
                <w:sz w:val="24"/>
              </w:rPr>
            </w:pPr>
            <w:r>
              <w:rPr>
                <w:rFonts w:hint="eastAsia" w:ascii="Times New Roman" w:hAnsi="Times New Roman" w:eastAsia="宋体"/>
                <w:color w:val="auto"/>
                <w:sz w:val="24"/>
                <w:szCs w:val="24"/>
              </w:rPr>
              <w:t>5.油类储存仓库地面做了硬化、防渗处理，开封的油桶专区存放（有托盘），但为防止意外事故的发生，</w:t>
            </w:r>
            <w:r>
              <w:rPr>
                <w:rFonts w:hint="eastAsia" w:ascii="Times New Roman" w:hAnsi="Times New Roman" w:eastAsia="宋体"/>
                <w:color w:val="auto"/>
                <w:sz w:val="24"/>
                <w:szCs w:val="24"/>
                <w:lang w:eastAsia="zh-CN"/>
              </w:rPr>
              <w:t>需</w:t>
            </w:r>
            <w:r>
              <w:rPr>
                <w:rFonts w:hint="eastAsia" w:ascii="Times New Roman" w:hAnsi="Times New Roman" w:eastAsia="宋体"/>
                <w:color w:val="auto"/>
                <w:sz w:val="24"/>
                <w:szCs w:val="24"/>
              </w:rPr>
              <w:t>在油类储存仓库四周设置至少50cm的裙边。</w:t>
            </w:r>
          </w:p>
        </w:tc>
      </w:tr>
    </w:tbl>
    <w:p>
      <w:pPr>
        <w:snapToGrid w:val="0"/>
        <w:spacing w:after="156" w:afterLines="50"/>
        <w:jc w:val="center"/>
        <w:rPr>
          <w:rFonts w:hint="eastAsia" w:ascii="楷体_GB2312" w:eastAsia="楷体_GB2312"/>
          <w:b/>
          <w:sz w:val="30"/>
          <w:szCs w:val="30"/>
        </w:rPr>
      </w:pPr>
    </w:p>
    <w:p>
      <w:pPr>
        <w:snapToGrid w:val="0"/>
        <w:spacing w:after="156" w:afterLines="50"/>
        <w:jc w:val="both"/>
        <w:rPr>
          <w:rFonts w:hint="eastAsia" w:ascii="楷体_GB2312" w:eastAsia="楷体_GB2312"/>
          <w:b/>
          <w:sz w:val="30"/>
          <w:szCs w:val="30"/>
        </w:rPr>
      </w:pP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drawing>
          <wp:inline distT="0" distB="0" distL="114300" distR="114300">
            <wp:extent cx="5758815" cy="7678420"/>
            <wp:effectExtent l="0" t="0" r="13335" b="17780"/>
            <wp:docPr id="1" name="图片 1" descr="变速器审查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变速器审查意见"/>
                    <pic:cNvPicPr>
                      <a:picLocks noChangeAspect="1"/>
                    </pic:cNvPicPr>
                  </pic:nvPicPr>
                  <pic:blipFill>
                    <a:blip r:embed="rId4"/>
                    <a:stretch>
                      <a:fillRect/>
                    </a:stretch>
                  </pic:blipFill>
                  <pic:spPr>
                    <a:xfrm>
                      <a:off x="0" y="0"/>
                      <a:ext cx="5758815" cy="7678420"/>
                    </a:xfrm>
                    <a:prstGeom prst="rect">
                      <a:avLst/>
                    </a:prstGeom>
                  </pic:spPr>
                </pic:pic>
              </a:graphicData>
            </a:graphic>
          </wp:inline>
        </w:drawing>
      </w:r>
      <w:r>
        <w:rPr>
          <w:rFonts w:hint="eastAsia" w:ascii="楷体_GB2312" w:eastAsia="楷体_GB2312"/>
          <w:b/>
          <w:sz w:val="30"/>
          <w:szCs w:val="30"/>
        </w:rPr>
        <w:br w:type="page"/>
      </w:r>
    </w:p>
    <w:p>
      <w:pPr>
        <w:rPr>
          <w:rFonts w:hint="eastAsia" w:eastAsiaTheme="minorEastAsia"/>
          <w:lang w:eastAsia="zh-CN"/>
        </w:rPr>
      </w:pPr>
      <w:r>
        <w:rPr>
          <w:rFonts w:hint="eastAsia" w:eastAsiaTheme="minorEastAsia"/>
          <w:lang w:eastAsia="zh-CN"/>
        </w:rPr>
        <w:drawing>
          <wp:inline distT="0" distB="0" distL="114300" distR="114300">
            <wp:extent cx="5752465" cy="7771765"/>
            <wp:effectExtent l="0" t="0" r="635" b="635"/>
            <wp:docPr id="2" name="图片 2" descr="变速器验收结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变速器验收结论"/>
                    <pic:cNvPicPr>
                      <a:picLocks noChangeAspect="1"/>
                    </pic:cNvPicPr>
                  </pic:nvPicPr>
                  <pic:blipFill>
                    <a:blip r:embed="rId5"/>
                    <a:stretch>
                      <a:fillRect/>
                    </a:stretch>
                  </pic:blipFill>
                  <pic:spPr>
                    <a:xfrm>
                      <a:off x="0" y="0"/>
                      <a:ext cx="5752465" cy="7771765"/>
                    </a:xfrm>
                    <a:prstGeom prst="rect">
                      <a:avLst/>
                    </a:prstGeom>
                  </pic:spPr>
                </pic:pic>
              </a:graphicData>
            </a:graphic>
          </wp:inline>
        </w:drawing>
      </w:r>
      <w:bookmarkStart w:id="0" w:name="_GoBack"/>
      <w:bookmarkEnd w:id="0"/>
    </w:p>
    <w:sectPr>
      <w:pgSz w:w="11906" w:h="16838"/>
      <w:pgMar w:top="1417" w:right="1417" w:bottom="1417" w:left="1417" w:header="851" w:footer="992" w:gutter="0"/>
      <w:pgBorders>
        <w:top w:val="none" w:sz="0" w:space="0"/>
        <w:left w:val="none" w:sz="0" w:space="0"/>
        <w:bottom w:val="none" w:sz="0" w:space="0"/>
        <w:right w:val="none" w:sz="0" w:space="0"/>
      </w:pgBorders>
      <w:cols w:space="0" w:num="1"/>
      <w:rtlGutter w:val="0"/>
      <w:docGrid w:type="lines" w:linePitch="3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S">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SimSun-ExtB">
    <w:panose1 w:val="02010609060101010101"/>
    <w:charset w:val="86"/>
    <w:family w:val="auto"/>
    <w:pitch w:val="default"/>
    <w:sig w:usb0="00000001" w:usb1="02000000" w:usb2="00000000" w:usb3="00000000" w:csb0="00040001" w:csb1="00000000"/>
  </w:font>
  <w:font w:name="SO">
    <w:altName w:val="AMGDT"/>
    <w:panose1 w:val="00000000000000000000"/>
    <w:charset w:val="00"/>
    <w:family w:val="auto"/>
    <w:pitch w:val="default"/>
    <w:sig w:usb0="00000000" w:usb1="00000000" w:usb2="00000000" w:usb3="00000000" w:csb0="00000000" w:csb1="00000000"/>
  </w:font>
  <w:font w:name="SON">
    <w:altName w:val="AMGDT"/>
    <w:panose1 w:val="00000000000000000000"/>
    <w:charset w:val="00"/>
    <w:family w:val="auto"/>
    <w:pitch w:val="default"/>
    <w:sig w:usb0="00000000" w:usb1="00000000" w:usb2="00000000" w:usb3="00000000" w:csb0="00000000" w:csb1="00000000"/>
  </w:font>
  <w:font w:name="SONG">
    <w:altName w:val="AMGDT"/>
    <w:panose1 w:val="00000000000000000000"/>
    <w:charset w:val="00"/>
    <w:family w:val="auto"/>
    <w:pitch w:val="default"/>
    <w:sig w:usb0="00000000" w:usb1="00000000" w:usb2="00000000" w:usb3="00000000" w:csb0="00000000" w:csb1="00000000"/>
  </w:font>
  <w:font w:name="SONGT">
    <w:altName w:val="AMGDT"/>
    <w:panose1 w:val="00000000000000000000"/>
    <w:charset w:val="00"/>
    <w:family w:val="auto"/>
    <w:pitch w:val="default"/>
    <w:sig w:usb0="00000000" w:usb1="00000000" w:usb2="00000000" w:usb3="00000000" w:csb0="00000000" w:csb1="00000000"/>
  </w:font>
  <w:font w:name="SONGTI">
    <w:altName w:val="AMGD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
    <w:altName w:val="宋体"/>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Calibri">
    <w:panose1 w:val="020F0502020204030204"/>
    <w:charset w:val="01"/>
    <w:family w:val="auto"/>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楷体">
    <w:altName w:val="宋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504020202030204"/>
    <w:charset w:val="00"/>
    <w:family w:val="swiss"/>
    <w:pitch w:val="default"/>
    <w:sig w:usb0="00000000" w:usb1="00000000" w:usb2="00000000" w:usb3="00000000" w:csb0="00000093" w:csb1="00000000"/>
  </w:font>
  <w:font w:name="方正仿宋_GBK">
    <w:altName w:val="微软雅黑"/>
    <w:panose1 w:val="03000509000000000000"/>
    <w:charset w:val="86"/>
    <w:family w:val="script"/>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仿宋体">
    <w:altName w:val="宋体"/>
    <w:panose1 w:val="02010600030101010101"/>
    <w:charset w:val="86"/>
    <w:family w:val="roman"/>
    <w:pitch w:val="default"/>
    <w:sig w:usb0="00000000" w:usb1="00000000" w:usb2="00000010" w:usb3="00000000" w:csb0="0004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40001" w:csb1="00000000"/>
  </w:font>
  <w:font w:name="Garamond">
    <w:panose1 w:val="02020404030301010803"/>
    <w:charset w:val="00"/>
    <w:family w:val="roman"/>
    <w:pitch w:val="default"/>
    <w:sig w:usb0="00000287" w:usb1="00000000" w:usb2="00000000" w:usb3="00000000" w:csb0="0000009F" w:csb1="DFD70000"/>
  </w:font>
  <w:font w:name="Monospace">
    <w:altName w:val="宋体"/>
    <w:panose1 w:val="00000000000000000000"/>
    <w:charset w:val="00"/>
    <w:family w:val="auto"/>
    <w:pitch w:val="default"/>
    <w:sig w:usb0="00000000" w:usb1="00000000" w:usb2="00000000" w:usb3="00000000" w:csb0="00040001" w:csb1="00000000"/>
  </w:font>
  <w:font w:name="华文新魏">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Technic">
    <w:panose1 w:val="000004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华文琥珀">
    <w:panose1 w:val="02010800040101010101"/>
    <w:charset w:val="86"/>
    <w:family w:val="auto"/>
    <w:pitch w:val="default"/>
    <w:sig w:usb0="00000001" w:usb1="080F0000" w:usb2="00000000" w:usb3="00000000" w:csb0="00040000" w:csb1="00000000"/>
  </w:font>
  <w:font w:name="是那个题">
    <w:altName w:val="AMGDT"/>
    <w:panose1 w:val="00000000000000000000"/>
    <w:charset w:val="00"/>
    <w:family w:val="auto"/>
    <w:pitch w:val="default"/>
    <w:sig w:usb0="00000000" w:usb1="00000000" w:usb2="00000000" w:usb3="00000000" w:csb0="00000000" w:csb1="00000000"/>
  </w:font>
  <w:font w:name="是那个">
    <w:altName w:val="AMGDT"/>
    <w:panose1 w:val="00000000000000000000"/>
    <w:charset w:val="00"/>
    <w:family w:val="auto"/>
    <w:pitch w:val="default"/>
    <w:sig w:usb0="00000000" w:usb1="00000000" w:usb2="00000000" w:usb3="00000000" w:csb0="00000000" w:csb1="00000000"/>
  </w:font>
  <w:font w:name="是那">
    <w:altName w:val="AMGDT"/>
    <w:panose1 w:val="00000000000000000000"/>
    <w:charset w:val="00"/>
    <w:family w:val="auto"/>
    <w:pitch w:val="default"/>
    <w:sig w:usb0="00000000" w:usb1="00000000" w:usb2="00000000" w:usb3="00000000" w:csb0="00000000" w:csb1="00000000"/>
  </w:font>
  <w:font w:name="是">
    <w:altName w:val="AMGDT"/>
    <w:panose1 w:val="00000000000000000000"/>
    <w:charset w:val="00"/>
    <w:family w:val="auto"/>
    <w:pitch w:val="default"/>
    <w:sig w:usb0="00000000" w:usb1="00000000" w:usb2="00000000" w:usb3="00000000" w:csb0="00000000" w:csb1="00000000"/>
  </w:font>
  <w:font w:name="zuoyeFont_mathFont">
    <w:altName w:val="微软雅黑"/>
    <w:panose1 w:val="00000000000000000000"/>
    <w:charset w:val="00"/>
    <w:family w:val="auto"/>
    <w:pitch w:val="default"/>
    <w:sig w:usb0="00000000" w:usb1="00000000" w:usb2="00000000" w:usb3="00000000" w:csb0="00040001" w:csb1="00000000"/>
  </w:font>
  <w:font w:name="PingFang SC">
    <w:altName w:val="AMGD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方正黑体简体">
    <w:altName w:val="宋体"/>
    <w:panose1 w:val="02010601030101010101"/>
    <w:charset w:val="86"/>
    <w:family w:val="auto"/>
    <w:pitch w:val="default"/>
    <w:sig w:usb0="00000000" w:usb1="00000000" w:usb2="00000010" w:usb3="00000000" w:csb0="00040000" w:csb1="00000000"/>
  </w:font>
  <w:font w:name="MHei-Medium">
    <w:altName w:val="MingLiU"/>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TimesNewRoman">
    <w:altName w:val="宋体"/>
    <w:panose1 w:val="00000000000000000000"/>
    <w:charset w:val="00"/>
    <w:family w:val="roman"/>
    <w:pitch w:val="default"/>
    <w:sig w:usb0="00000000" w:usb1="00000000" w:usb2="00000010" w:usb3="00000000" w:csb0="00040001" w:csb1="00000000"/>
  </w:font>
  <w:font w:name="华文行楷">
    <w:panose1 w:val="02010800040101010101"/>
    <w:charset w:val="86"/>
    <w:family w:val="auto"/>
    <w:pitch w:val="default"/>
    <w:sig w:usb0="00000001" w:usb1="080F0000" w:usb2="00000000" w:usb3="00000000" w:csb0="00040000" w:csb1="00000000"/>
  </w:font>
  <w:font w:name="Gulim">
    <w:panose1 w:val="020B0600000101010101"/>
    <w:charset w:val="81"/>
    <w:family w:val="auto"/>
    <w:pitch w:val="default"/>
    <w:sig w:usb0="B00002AF" w:usb1="69D77CFB" w:usb2="00000030" w:usb3="00000000" w:csb0="4008009F" w:csb1="DFD70000"/>
  </w:font>
  <w:font w:name="華康中楷體">
    <w:altName w:val="PMingLiU"/>
    <w:panose1 w:val="02010609000101010101"/>
    <w:charset w:val="88"/>
    <w:family w:val="modern"/>
    <w:pitch w:val="default"/>
    <w:sig w:usb0="00000000" w:usb1="00000000" w:usb2="00000010" w:usb3="00000000" w:csb0="00100000" w:csb1="00000000"/>
  </w:font>
  <w:font w:name="Arial Narrow">
    <w:panose1 w:val="020B0606020202030204"/>
    <w:charset w:val="00"/>
    <w:family w:val="swiss"/>
    <w:pitch w:val="default"/>
    <w:sig w:usb0="00000287" w:usb1="000008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DFKai-SB">
    <w:panose1 w:val="03000509000000000000"/>
    <w:charset w:val="88"/>
    <w:family w:val="script"/>
    <w:pitch w:val="default"/>
    <w:sig w:usb0="00000003" w:usb1="082E0000" w:usb2="00000016" w:usb3="00000000" w:csb0="00100001" w:csb1="00000000"/>
  </w:font>
  <w:font w:name="華康粗黑體">
    <w:altName w:val="PMingLiU"/>
    <w:panose1 w:val="02010609000101010101"/>
    <w:charset w:val="88"/>
    <w:family w:val="modern"/>
    <w:pitch w:val="default"/>
    <w:sig w:usb0="00000000" w:usb1="00000000" w:usb2="00000010" w:usb3="00000000" w:csb0="00100000" w:csb1="00000000"/>
  </w:font>
  <w:font w:name="Arial Black">
    <w:panose1 w:val="020B0A04020102020204"/>
    <w:charset w:val="00"/>
    <w:family w:val="swiss"/>
    <w:pitch w:val="default"/>
    <w:sig w:usb0="00000287"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華康中明體">
    <w:altName w:val="PMingLiU"/>
    <w:panose1 w:val="02010609010101010101"/>
    <w:charset w:val="88"/>
    <w:family w:val="modern"/>
    <w:pitch w:val="default"/>
    <w:sig w:usb0="00000000" w:usb1="00000000" w:usb2="00000010" w:usb3="00000000" w:csb0="00100000" w:csb1="00000000"/>
  </w:font>
  <w:font w:name="PMingLiU">
    <w:panose1 w:val="02020500000000000000"/>
    <w:charset w:val="88"/>
    <w:family w:val="roman"/>
    <w:pitch w:val="default"/>
    <w:sig w:usb0="A00002FF" w:usb1="28CFFCFA" w:usb2="00000016" w:usb3="00000000" w:csb0="00100001" w:csb1="00000000"/>
  </w:font>
  <w:font w:name="CommercialPi BT">
    <w:panose1 w:val="05020102010206080802"/>
    <w:charset w:val="02"/>
    <w:family w:val="roman"/>
    <w:pitch w:val="default"/>
    <w:sig w:usb0="00000000" w:usb1="00000000" w:usb2="00000000" w:usb3="00000000" w:csb0="00000000" w:csb1="00000000"/>
  </w:font>
  <w:font w:name="方正宋三简体">
    <w:altName w:val="宋体"/>
    <w:panose1 w:val="02010601030101010101"/>
    <w:charset w:val="86"/>
    <w:family w:val="auto"/>
    <w:pitch w:val="default"/>
    <w:sig w:usb0="00000000" w:usb1="00000000" w:usb2="00000010" w:usb3="00000000" w:csb0="00040000" w:csb1="00000000"/>
  </w:font>
  <w:font w:name="_x001A_">
    <w:altName w:val="Times New Roman"/>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E00002FF" w:usb1="6AC7FDFB" w:usb2="00000012" w:usb3="00000000" w:csb0="4002009F" w:csb1="DFD70000"/>
  </w:font>
  <w:font w:name="长城楷体">
    <w:altName w:val="黑体"/>
    <w:panose1 w:val="00000000000000000000"/>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长城仿宋体">
    <w:altName w:val="宋体"/>
    <w:panose1 w:val="0201060900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MS Sans Serif">
    <w:altName w:val="Arial"/>
    <w:panose1 w:val="00000000000000000000"/>
    <w:charset w:val="00"/>
    <w:family w:val="auto"/>
    <w:pitch w:val="default"/>
    <w:sig w:usb0="00000000" w:usb1="00000000" w:usb2="00000000" w:usb3="00000000" w:csb0="00000001" w:csb1="00000000"/>
  </w:font>
  <w:font w:name="Sim Sun+ 2">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F11A2"/>
    <w:multiLevelType w:val="singleLevel"/>
    <w:tmpl w:val="59EF11A2"/>
    <w:lvl w:ilvl="0" w:tentative="0">
      <w:start w:val="1"/>
      <w:numFmt w:val="chineseCounting"/>
      <w:suff w:val="nothing"/>
      <w:lvlText w:val="%1、"/>
      <w:lvlJc w:val="left"/>
    </w:lvl>
  </w:abstractNum>
  <w:abstractNum w:abstractNumId="1">
    <w:nsid w:val="59EF2C37"/>
    <w:multiLevelType w:val="singleLevel"/>
    <w:tmpl w:val="59EF2C37"/>
    <w:lvl w:ilvl="0" w:tentative="0">
      <w:start w:val="4"/>
      <w:numFmt w:val="chineseCounting"/>
      <w:suff w:val="nothing"/>
      <w:lvlText w:val="%1、"/>
      <w:lvlJc w:val="left"/>
    </w:lvl>
  </w:abstractNum>
  <w:abstractNum w:abstractNumId="2">
    <w:nsid w:val="59F6EF04"/>
    <w:multiLevelType w:val="singleLevel"/>
    <w:tmpl w:val="59F6EF04"/>
    <w:lvl w:ilvl="0" w:tentative="0">
      <w:start w:val="2"/>
      <w:numFmt w:val="decimal"/>
      <w:suff w:val="nothing"/>
      <w:lvlText w:val="%1、"/>
      <w:lvlJc w:val="left"/>
    </w:lvl>
  </w:abstractNum>
  <w:abstractNum w:abstractNumId="3">
    <w:nsid w:val="5A0047F3"/>
    <w:multiLevelType w:val="singleLevel"/>
    <w:tmpl w:val="5A0047F3"/>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9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B30793"/>
    <w:rsid w:val="02D01BC1"/>
    <w:rsid w:val="05B374C7"/>
    <w:rsid w:val="072F41E8"/>
    <w:rsid w:val="07C06C0F"/>
    <w:rsid w:val="07D94429"/>
    <w:rsid w:val="08BA499D"/>
    <w:rsid w:val="0A9B064A"/>
    <w:rsid w:val="0D624405"/>
    <w:rsid w:val="0E2F3358"/>
    <w:rsid w:val="0FB917D9"/>
    <w:rsid w:val="10CE53B2"/>
    <w:rsid w:val="144747EF"/>
    <w:rsid w:val="14AF2F6F"/>
    <w:rsid w:val="15273B53"/>
    <w:rsid w:val="156B3CA3"/>
    <w:rsid w:val="176C2537"/>
    <w:rsid w:val="17D622BD"/>
    <w:rsid w:val="181642FD"/>
    <w:rsid w:val="1A644F8E"/>
    <w:rsid w:val="1B010FE1"/>
    <w:rsid w:val="1D1C69E5"/>
    <w:rsid w:val="1D370F4E"/>
    <w:rsid w:val="1D3F404A"/>
    <w:rsid w:val="1F874341"/>
    <w:rsid w:val="205F402C"/>
    <w:rsid w:val="210429BA"/>
    <w:rsid w:val="222831DD"/>
    <w:rsid w:val="223577C9"/>
    <w:rsid w:val="260B3F8A"/>
    <w:rsid w:val="262D4127"/>
    <w:rsid w:val="2753660A"/>
    <w:rsid w:val="28174397"/>
    <w:rsid w:val="28922313"/>
    <w:rsid w:val="29AB0E6C"/>
    <w:rsid w:val="29EB540C"/>
    <w:rsid w:val="2C5138C4"/>
    <w:rsid w:val="2EFF54DE"/>
    <w:rsid w:val="30537AFF"/>
    <w:rsid w:val="30B35F7C"/>
    <w:rsid w:val="316A5705"/>
    <w:rsid w:val="334C1259"/>
    <w:rsid w:val="34CE49C4"/>
    <w:rsid w:val="36364E76"/>
    <w:rsid w:val="36F63C57"/>
    <w:rsid w:val="37387EDF"/>
    <w:rsid w:val="38285FA2"/>
    <w:rsid w:val="3A08048E"/>
    <w:rsid w:val="3A367BA1"/>
    <w:rsid w:val="3A4F7C8F"/>
    <w:rsid w:val="3B350A2A"/>
    <w:rsid w:val="3C6132A0"/>
    <w:rsid w:val="3E8D7D71"/>
    <w:rsid w:val="40F16AC0"/>
    <w:rsid w:val="428136C2"/>
    <w:rsid w:val="42986C31"/>
    <w:rsid w:val="43FD1DC8"/>
    <w:rsid w:val="442A37D3"/>
    <w:rsid w:val="446F79BD"/>
    <w:rsid w:val="46B176CC"/>
    <w:rsid w:val="47D3103A"/>
    <w:rsid w:val="49F12DF2"/>
    <w:rsid w:val="4B9C22CF"/>
    <w:rsid w:val="4C222B48"/>
    <w:rsid w:val="4C2A2D35"/>
    <w:rsid w:val="4C4010EF"/>
    <w:rsid w:val="4EAE3A2D"/>
    <w:rsid w:val="4EBF1245"/>
    <w:rsid w:val="4F0838FE"/>
    <w:rsid w:val="51263205"/>
    <w:rsid w:val="517948B5"/>
    <w:rsid w:val="53983098"/>
    <w:rsid w:val="543948B3"/>
    <w:rsid w:val="54F264DC"/>
    <w:rsid w:val="551B222A"/>
    <w:rsid w:val="57552A2A"/>
    <w:rsid w:val="5862718B"/>
    <w:rsid w:val="58AF6A1D"/>
    <w:rsid w:val="5B036799"/>
    <w:rsid w:val="5CA86161"/>
    <w:rsid w:val="5F735712"/>
    <w:rsid w:val="619B181F"/>
    <w:rsid w:val="64585027"/>
    <w:rsid w:val="65BC730F"/>
    <w:rsid w:val="68121986"/>
    <w:rsid w:val="6AB4123B"/>
    <w:rsid w:val="6B4145A9"/>
    <w:rsid w:val="6B8E2D46"/>
    <w:rsid w:val="6BB56708"/>
    <w:rsid w:val="6C0E2841"/>
    <w:rsid w:val="6CAB12C7"/>
    <w:rsid w:val="6EAF55E6"/>
    <w:rsid w:val="6EBE0695"/>
    <w:rsid w:val="6EE00EA5"/>
    <w:rsid w:val="6F2B5CA1"/>
    <w:rsid w:val="6F3271C2"/>
    <w:rsid w:val="70F0648A"/>
    <w:rsid w:val="73E91D51"/>
    <w:rsid w:val="758F1242"/>
    <w:rsid w:val="75B7768A"/>
    <w:rsid w:val="768D49B4"/>
    <w:rsid w:val="774A3988"/>
    <w:rsid w:val="78B24219"/>
    <w:rsid w:val="7A17211E"/>
    <w:rsid w:val="7A99487C"/>
    <w:rsid w:val="7ACB4D08"/>
    <w:rsid w:val="7C0B0689"/>
    <w:rsid w:val="7CE42F8F"/>
    <w:rsid w:val="7DDF3248"/>
    <w:rsid w:val="7E6950FF"/>
    <w:rsid w:val="7E8026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Ascii" w:hAnsiTheme="minorAscii" w:eastAsiaTheme="minorEastAsia" w:cstheme="minorBidi"/>
      <w:kern w:val="2"/>
      <w:sz w:val="28"/>
      <w:szCs w:val="24"/>
      <w:lang w:val="en-US" w:eastAsia="zh-CN" w:bidi="ar-SA"/>
    </w:rPr>
  </w:style>
  <w:style w:type="paragraph" w:styleId="2">
    <w:name w:val="heading 1"/>
    <w:basedOn w:val="1"/>
    <w:next w:val="1"/>
    <w:link w:val="13"/>
    <w:qFormat/>
    <w:uiPriority w:val="0"/>
    <w:pPr>
      <w:keepNext/>
      <w:keepLines/>
      <w:spacing w:line="360" w:lineRule="auto"/>
      <w:jc w:val="left"/>
      <w:outlineLvl w:val="0"/>
    </w:pPr>
    <w:rPr>
      <w:rFonts w:ascii="Times New Roman" w:hAnsi="Times New Roman" w:eastAsia="宋体"/>
      <w:b/>
      <w:bCs/>
      <w:kern w:val="44"/>
      <w:sz w:val="32"/>
      <w:szCs w:val="44"/>
    </w:rPr>
  </w:style>
  <w:style w:type="paragraph" w:styleId="3">
    <w:name w:val="heading 2"/>
    <w:basedOn w:val="1"/>
    <w:next w:val="1"/>
    <w:unhideWhenUsed/>
    <w:qFormat/>
    <w:uiPriority w:val="0"/>
    <w:pPr>
      <w:keepNext/>
      <w:keepLines/>
      <w:spacing w:line="360" w:lineRule="auto"/>
      <w:jc w:val="left"/>
      <w:outlineLvl w:val="1"/>
    </w:pPr>
    <w:rPr>
      <w:rFonts w:ascii="Times New Roman" w:hAnsi="Times New Roman" w:eastAsia="宋体"/>
      <w:b/>
      <w:bCs/>
      <w:sz w:val="28"/>
      <w:szCs w:val="32"/>
    </w:rPr>
  </w:style>
  <w:style w:type="paragraph" w:styleId="4">
    <w:name w:val="heading 3"/>
    <w:basedOn w:val="1"/>
    <w:next w:val="1"/>
    <w:link w:val="12"/>
    <w:unhideWhenUsed/>
    <w:qFormat/>
    <w:uiPriority w:val="0"/>
    <w:pPr>
      <w:keepNext/>
      <w:keepLines/>
      <w:spacing w:line="360" w:lineRule="auto"/>
      <w:jc w:val="left"/>
      <w:outlineLvl w:val="2"/>
    </w:pPr>
    <w:rPr>
      <w:rFonts w:ascii="Times New Roman" w:hAnsi="Times New Roman" w:eastAsia="宋体"/>
      <w:b/>
      <w:bCs/>
      <w:sz w:val="28"/>
      <w:szCs w:val="32"/>
    </w:rPr>
  </w:style>
  <w:style w:type="paragraph" w:styleId="5">
    <w:name w:val="heading 4"/>
    <w:basedOn w:val="6"/>
    <w:next w:val="1"/>
    <w:unhideWhenUsed/>
    <w:qFormat/>
    <w:uiPriority w:val="0"/>
    <w:pPr>
      <w:keepNext/>
      <w:keepLines/>
      <w:spacing w:beforeLines="0" w:beforeAutospacing="0" w:afterLines="0" w:afterAutospacing="0" w:line="360" w:lineRule="auto"/>
      <w:outlineLvl w:val="3"/>
    </w:pPr>
    <w:rPr>
      <w:rFonts w:ascii="Times New Roman" w:hAnsi="Times New Roman" w:eastAsia="宋体"/>
      <w:b/>
      <w:sz w:val="28"/>
    </w:rPr>
  </w:style>
  <w:style w:type="character" w:default="1" w:styleId="9">
    <w:name w:val="Default Paragraph Font"/>
    <w:unhideWhenUsed/>
    <w:qFormat/>
    <w:uiPriority w:val="1"/>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6">
    <w:name w:val="toa heading"/>
    <w:basedOn w:val="1"/>
    <w:next w:val="1"/>
    <w:qFormat/>
    <w:uiPriority w:val="0"/>
    <w:pPr>
      <w:spacing w:before="120" w:beforeLines="0" w:beforeAutospacing="0"/>
    </w:pPr>
    <w:rPr>
      <w:rFonts w:ascii="Arial" w:hAnsi="Arial"/>
      <w:sz w:val="24"/>
    </w:rPr>
  </w:style>
  <w:style w:type="paragraph" w:styleId="7">
    <w:name w:val="Body Text"/>
    <w:basedOn w:val="1"/>
    <w:qFormat/>
    <w:uiPriority w:val="0"/>
    <w:pPr>
      <w:keepNext w:val="0"/>
      <w:keepLines w:val="0"/>
      <w:widowControl/>
      <w:suppressLineNumbers w:val="0"/>
      <w:spacing w:before="47" w:beforeAutospacing="0" w:after="0" w:afterAutospacing="0"/>
      <w:ind w:left="111" w:right="0"/>
      <w:jc w:val="left"/>
    </w:pPr>
    <w:rPr>
      <w:rFonts w:hint="eastAsia" w:ascii="宋体" w:hAnsi="宋体" w:eastAsia="宋体" w:cs="宋体"/>
      <w:kern w:val="0"/>
      <w:sz w:val="30"/>
      <w:szCs w:val="30"/>
      <w:lang w:val="en-US" w:eastAsia="zh-CN" w:bidi="ar"/>
    </w:rPr>
  </w:style>
  <w:style w:type="paragraph" w:styleId="8">
    <w:name w:val="toc 3"/>
    <w:basedOn w:val="1"/>
    <w:next w:val="1"/>
    <w:qFormat/>
    <w:uiPriority w:val="0"/>
    <w:pPr>
      <w:spacing w:line="360" w:lineRule="auto"/>
      <w:ind w:left="0" w:leftChars="0"/>
      <w:jc w:val="left"/>
      <w:outlineLvl w:val="3"/>
    </w:pPr>
    <w:rPr>
      <w:rFonts w:ascii="Times New Roman" w:hAnsi="Times New Roman" w:eastAsia="宋体"/>
      <w:b/>
      <w:sz w:val="2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标题 3 Char"/>
    <w:basedOn w:val="9"/>
    <w:link w:val="4"/>
    <w:semiHidden/>
    <w:qFormat/>
    <w:uiPriority w:val="9"/>
    <w:rPr>
      <w:rFonts w:ascii="Times New Roman" w:hAnsi="Times New Roman" w:eastAsia="宋体"/>
      <w:b/>
      <w:bCs/>
      <w:sz w:val="28"/>
      <w:szCs w:val="32"/>
    </w:rPr>
  </w:style>
  <w:style w:type="character" w:customStyle="1" w:styleId="13">
    <w:name w:val="标题 1 Char"/>
    <w:link w:val="2"/>
    <w:qFormat/>
    <w:uiPriority w:val="0"/>
    <w:rPr>
      <w:rFonts w:ascii="Times New Roman" w:hAnsi="Times New Roman" w:eastAsia="宋体"/>
      <w:b/>
      <w:bCs/>
      <w:kern w:val="44"/>
      <w:sz w:val="44"/>
      <w:szCs w:val="44"/>
    </w:rPr>
  </w:style>
  <w:style w:type="paragraph" w:customStyle="1" w:styleId="14">
    <w:name w:val="Body"/>
    <w:basedOn w:val="1"/>
    <w:qFormat/>
    <w:uiPriority w:val="1"/>
    <w:rPr>
      <w:rFonts w:ascii="宋体" w:hAnsi="宋体" w:eastAsia="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w</cp:lastModifiedBy>
  <dcterms:modified xsi:type="dcterms:W3CDTF">2017-11-15T09:05:52Z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